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RT200046 vom 28. Mai 2020</w:t>
      </w:r>
    </w:p>
    <w:p>
      <w:r>
        <w:t>ZH Obergericht, 2020-05-28, DE</w:t>
      </w:r>
    </w:p>
    <w:p>
      <w:r>
        <w:rPr>
          <w:b/>
        </w:rPr>
        <w:t xml:space="preserve">Quelle: </w:t>
      </w:r>
      <w:r>
        <w:t>https://mcp.opencaselaw.ch/entscheid/zh_obergericht_RT200046</w:t>
      </w:r>
    </w:p>
    <w:p>
      <w:r>
        <w:t>FR: ZH_OBERGERICHT RT200046 du 28 mai 2020</w:t>
      </w:r>
    </w:p>
    <w:p>
      <w:r>
        <w:t>IT: ZH_OBERGERICHT RT200046 del 28 maggio 2020</w:t>
      </w:r>
    </w:p>
    <w:p>
      <w:pPr>
        <w:pStyle w:val="Heading2"/>
      </w:pPr>
      <w:r>
        <w:t>Erwägungen</w:t>
      </w:r>
    </w:p>
    <w:p>
      <w:r>
        <w:rPr>
          <w:b/>
        </w:rPr>
        <w:t>E. 1</w:t>
      </w:r>
    </w:p>
    <w:p>
      <w:r>
        <w:t>a) Mit Urteil vom 22. April 2020 erteilte das Bezirksgericht Meilen (Vorinstanz) dem Gesuchsteller in der Betreibung Nr. 1 des Betreibungsamts Küsnacht-Zollikon-Zumikon (Zahlungsbefehl vom 2. März 2020) – für Einkom- mens- und Kapitalsteuer 2018 – definitive Rechtsöffnung für Fr. 388.90 nebst 3.5% Zins seit 28. Oktober 2019, für Fr. 1.45 und für die Betreibungskosten sowie für Kosten und Entschädigung gemäss diesem Entscheid (Urk. 12 = Urk. 15). b) Gegen dieses ihr am 24. April 2020 zugestellte (Urk. 13/2) Urteil erhob die Gesuchsgegnerin am 4. Mai 2020 (Postaufgabe) fristgerecht Beschwerde und stellte die Beschwerdeanträge (Urk. 14 S. 5): "Ich bitte Sie, das Urteil des Bezirksgerichts Meilen vom 22. April 2020 betr. Rechtsöffnung zu annulieren, als nichtig zu erklären, unter Kostenfolge für die Klägerin. Mir soll eine vernünftige Entschädigung für meinen immensen Aufwand zuge- sprochen werden."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vorgetragen wurde, kann im Beschwerdeverfahren grundsätzlich nicht mehr geltend gemacht bzw. nachgeholt werden. b) Die Vorinstanz erwog zusammengefasst, der Gesuchsteller stütze sein Rechtsöffnungsgesuch auf die Schlussrechnung vom 17. September 2019 für</w:t>
      </w:r>
    </w:p>
    <w:p>
      <w:r>
        <w:t>- 3 - Einkommens- und Kapitalsteuer 2018, mit welcher die Gesuchsgegnerin zur Zah- lung von Fr. 388.90 Steuern und Fr. 1.45 Ausgleichszins verpflichtet worden sei. Diese Schlussrechnung sei mangels Anfechtung in Rechtskraft erwachsen und bilde damit einen definitiven Rechtsöffnungstitel. Die Einwendungen der Ge- suchsgegnerin würden die materielle Begründetheit der Schlussrechnung betref- fen; diese könne jedoch im Rechtsöffnungsverfahren nicht mehr überprüft wer- den. Einwendungen im Sinne von Art. 81 Abs. 1 SchKG seien keine vorgebracht worden (Urk. 15 S. 2-4). c) Die Vorbringen der Gesuchsgegnerin in ihrer Beschwerde beinhalten zusammengefasst Vorwürfe gegen das Steueramt, welches die Schlussrechnung vom 17. September 2019 erlassen hatte (dass es sich nicht an Vereinbarungen halte, dass es massiv überhöhte Steuern fordere, dass es unkorrekt und inkompe- tent arbeite etc.), und dass die Steuerforderung falsch sei (Urk. 14). d) Die Gesuchsgegnerin scheint die Natur des Rechtsöffnungsverfahrens nicht verstanden zu haben. Das Verfahren auf definitive Rechtsöffnung ist ein rei- nes Vollstreckungsverfahren; es geht in diesem Verfahren nur noch um die Voll- streckung von Forderungen, über welche bereits rechtskräftig bzw. vollstreckbar entschieden wurde. Die Prüfung, ob die Forderungen zu Recht bestehen oder nicht, ist in jenem Verfahren erfolgt, welches zum Entscheid geführt hat, der nun- mehr zu vollstrecken ist. Eine Überprüfung jenes Entscheides hätte in einem ent- sprechenden Rechtsmittelverfahren ("réclamation"; Urk. 3/2 S. 1, Urk. 3/3 S. 3) stattfinden können, im Rechtsöffnungsverfahren darf die Forderung dagegen nicht mehr (noch einmal) überprüft werden (was bereits die Vorinstanz dargelegt hat; Urk. 15 S. 4). Die gegen das Steueramt und die Steuerforderung gerichteten Vor- bringen der Gesuchsgegnerin (vgl. Urk. 8) durften daher in korrekter Anwendung des Rechts von der Vorinstanz nicht berücksichtigt werden. Das Gleiche gilt für das Beschwerdeverfahren. e) Nach dem Gesagten erweist sich die Beschwerde als unbegründet. Sie ist demgemäss abzuweisen.</w:t>
      </w:r>
    </w:p>
    <w:p>
      <w:r>
        <w:t>- 4 -</w:t>
      </w:r>
    </w:p>
    <w:p>
      <w:r>
        <w:rPr>
          <w:b/>
        </w:rPr>
        <w:t>E. 3</w:t>
      </w:r>
    </w:p>
    <w:p>
      <w:r>
        <w:t>a) Für das Beschwerdeverfahren beträgt der Streitwert Fr. 388.90. Die zweitinstanzliche Entscheidgebühr ist in Anwendung von Art. 48 i.V.m. Art. 61 Abs. 1 GebV SchKG auf Fr. 150.--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