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RT200043 vom 19. Mai 2020</w:t>
      </w:r>
    </w:p>
    <w:p>
      <w:r>
        <w:t>ZH Obergericht, 2020-05-19, DE</w:t>
      </w:r>
    </w:p>
    <w:p>
      <w:r>
        <w:rPr>
          <w:b/>
        </w:rPr>
        <w:t xml:space="preserve">Quelle: </w:t>
      </w:r>
      <w:r>
        <w:t>https://mcp.opencaselaw.ch/entscheid/zh_obergericht_RT200043</w:t>
      </w:r>
    </w:p>
    <w:p>
      <w:r>
        <w:t>FR: ZH_OBERGERICHT RT200043 du 19 mai 2020</w:t>
      </w:r>
    </w:p>
    <w:p>
      <w:r>
        <w:t>IT: ZH_OBERGERICHT RT200043 del 19 maggio 2020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Die Beschwerde des Gesuchsgegners erweist sich als offensichtlich unzu- lässig. Auf das Einholen einer Beschwerdeantwort der Gesuchsteller kann unter diesen Umständen verzichtet werden (Art. 322 Abs. 1 ZPO).</w:t>
      </w:r>
    </w:p>
    <w:p>
      <w:r>
        <w:rPr>
          <w:b/>
        </w:rPr>
        <w:t>E. 4</w:t>
      </w:r>
    </w:p>
    <w:p>
      <w:r>
        <w:t>Umständehalber ist für das Beschwerdeverfahren auf die Erhebung von Ge- richtskosten zu verzichten. Für das Beschwerdeverfahren sind sodann keine Par- teientschädigungen zuzusprechen, dem Gesuchsgegner infolge seines Unterlie- gens, den Gesuchstellern mangels erheblicher Umtriebe.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