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RT200041 vom 31. August 2020</w:t>
      </w:r>
    </w:p>
    <w:p>
      <w:r>
        <w:t>ZH Obergericht, 2020-08-31, DE</w:t>
      </w:r>
    </w:p>
    <w:p>
      <w:r>
        <w:rPr>
          <w:b/>
        </w:rPr>
        <w:t xml:space="preserve">Quelle: </w:t>
      </w:r>
      <w:r>
        <w:t>https://mcp.opencaselaw.ch/entscheid/zh_obergericht_RT200041</w:t>
      </w:r>
    </w:p>
    <w:p>
      <w:r>
        <w:t>FR: ZH_OBERGERICHT RT200041 du 31 août 2020</w:t>
      </w:r>
    </w:p>
    <w:p>
      <w:r>
        <w:t>IT: ZH_OBERGERICHT RT200041 del 31 agosto 2020</w:t>
      </w:r>
    </w:p>
    <w:p>
      <w:pPr>
        <w:pStyle w:val="Heading2"/>
      </w:pPr>
      <w:r>
        <w:t>Erwägungen</w:t>
      </w:r>
    </w:p>
    <w:p>
      <w:r>
        <w:rPr>
          <w:b/>
        </w:rPr>
        <w:t>E. 1</w:t>
      </w:r>
    </w:p>
    <w:p>
      <w:r>
        <w:t>November 2018, für Fr. 500.– (Spruchgebühr Arrestbefehl) und Fr. 212.90 (Kosten Arrestverfahren), unter Kosten- und Entschädigungsfolgen zu Lasten des Gesuchsgegners (Urk. 1; Urk. 2).</w:t>
      </w:r>
    </w:p>
    <w:p>
      <w:r>
        <w:rPr>
          <w:b/>
        </w:rPr>
        <w:t>E. 1.2</w:t>
      </w:r>
    </w:p>
    <w:p>
      <w:r>
        <w:t>Nachdem der Gesuchsteller innert angesetzter Frist einen Kostenvor- schuss geleistet hatte (vgl. Urk. 6; Urk. 8), stellte der Gesuchsgegner mit Eingabe vom 18. Juli 2019 ein Gesuch um Gewährung der unentgeltlichen Rechtspflege und um Bestellung eines unentgeltlichen Rechtsbeistands in der Person seines Rechtsvertreters (Urk. 9). Dieses wurde mit Verfügung der Vorinstanz vom 23. Juli 2019 abgewiesen (Urk. 13). Die dagegen erhobene Beschwerde des Ge- suchsgegners wies die hiesige Kammer mit Urteil vom 18. Oktober 2019 ab (Urk. 28).</w:t>
      </w:r>
    </w:p>
    <w:p>
      <w:r>
        <w:rPr>
          <w:b/>
        </w:rPr>
        <w:t>E. 1.3</w:t>
      </w:r>
    </w:p>
    <w:p>
      <w:r>
        <w:t>Nach Eingang der Stellungnahme des Gesuchsgegners zum Rechts- öffnungsgesuch vom 21. August 2019 (Urk. 20) und weiteren Eingaben der Par- teien (Urk. 23; Urk. 39; Urk. 42) erliess die Vorinstanz am 20. April 2020 das fol- gende Urteil (Urk. 45 = Urk.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