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RT200037 vom 12. Mai 2020</w:t>
      </w:r>
    </w:p>
    <w:p>
      <w:r>
        <w:t>ZH Obergericht, 2020-05-12, DE</w:t>
      </w:r>
    </w:p>
    <w:p>
      <w:r>
        <w:rPr>
          <w:b/>
        </w:rPr>
        <w:t xml:space="preserve">Quelle: </w:t>
      </w:r>
      <w:r>
        <w:t>https://mcp.opencaselaw.ch/entscheid/zh_obergericht_RT200037</w:t>
      </w:r>
    </w:p>
    <w:p>
      <w:r>
        <w:t>FR: ZH_OBERGERICHT RT200037 du 12 mai 2020</w:t>
      </w:r>
    </w:p>
    <w:p>
      <w:r>
        <w:t>IT: ZH_OBERGERICHT RT200037 del 12 maggio 2020</w:t>
      </w:r>
    </w:p>
    <w:p>
      <w:pPr>
        <w:pStyle w:val="Heading2"/>
      </w:pPr>
      <w:r>
        <w:t>Erwägungen</w:t>
      </w:r>
    </w:p>
    <w:p>
      <w:r>
        <w:rPr>
          <w:b/>
        </w:rPr>
        <w:t>E. 1</w:t>
      </w:r>
    </w:p>
    <w:p>
      <w:r>
        <w:t>Mit zunächst in unbegründeter (Urk. 6) und hernach auf Gesuch des Gesuchsgegners und Beschwerdeführers (fortan Gesuchsgegner, vgl. Urk. 8) in begründeter Fassung (Urk. 10 = Urk. 14) ergangenem Urteil vom 7. Januar 2020 erteilte die Vorinstanz dem Gesuchsteller und Beschwerdegegner (fortan Ge- suchsteller) in der Betreibung Nr. … des Betreibungsamtes Wald-Fischenthal (Zahlungsbefehl vom 24. September 2019) definitive Rechtsöffnung für Fr. 80.– nebst Zins zu 4.5 % seit 24. September 2019 sowie Fr. 0.85 aufgelaufene Zinsen bis 23. September 2019. Im Mehrbetrag wies sie das Rechtsöffnungsbegehren ab (Urk. 14 S. 4, Dispositiv-Ziffer 1).</w:t>
      </w:r>
    </w:p>
    <w:p>
      <w:r>
        <w:rPr>
          <w:b/>
        </w:rPr>
        <w:t>E. 2</w:t>
      </w:r>
    </w:p>
    <w:p>
      <w:r>
        <w:t>a) Gegen dieses Urteil erhob der Gesuchsgegner mit Eingabe vom 13. März 2020, eingegangen am 16. März 2020, Beschwerde (Urk. 13). b) Die begründete Fassung des angefochtenen Urteils konnte dem Ge- suchsgegner nicht zugestellt werden, da er die Sendung innerhalb der postali- schen Abholfrist nicht abholte (Urk. 11). Das begründete Urteil gilt daher im Sinne von Art. 138 Abs. 3 lit. a ZPO als am letzten Tag der postalischen Abholfrist, mit- hin als am 3. März 2020, zugestellt (vgl. Aufkleber der Schweizerischen Post mit der Abholfrist: "Frist bis 3.3.", Urk. 11). Die 10-tägige Beschwerdefrist ist gewahrt, wenn die Eingabe spätestens am letzten Tag der Frist beim Gericht eingereicht oder zu dessen Handen der Schweizerischen Post übergeben worden ist (Art. 143 Abs. 1 ZPO). Wann der Gesuchsgegner seine Beschwerdeschrift der Schweizerischen Post übergeben hat, ergibt sich nicht aus den Akten, da der Poststempel auf dem Couvert der Beschwerdeeingabe fehlt (Urk. 13, angehefte- ter Umschlag). Da - wie zu zeigen sein wird - auf die Beschwerde des Gesuchs- gegners ohnehin nicht eingetreten werden kann, kann offen bleiben, ob das Rechtsmittel rechtzeitig erhoben worden ist.</w:t>
      </w:r>
    </w:p>
    <w:p>
      <w:r>
        <w:rPr>
          <w:b/>
        </w:rPr>
        <w:t>E. 3</w:t>
      </w:r>
    </w:p>
    <w:p>
      <w:r>
        <w:t>a) Die Beschwerde ist bei der Rechtsmittelinstanz schriftlich und be- gründet einzureichen (Art. 321 Abs. 1 ZPO). Aus der Pflicht zur Begründung der Beschwerde folgt, dass genau bestimmte Beschwerdeanträge zu stellen sind, denn eine Begründung setzt entsprechende Anträge voraus (vgl. ZK ZPO-Reetz/</w:t>
      </w:r>
    </w:p>
    <w:p>
      <w:r>
        <w:t>- 3 - Theiler, Art. 311 N 34 zur Berufung). Der Beschwerdeentscheid ist grundsätzlich kassatorisch, kann jedoch auch reformatorisch sein. Insbesondere für diesen Fall ist ein Antrag in der Sache, der bei Gutheissung der Beschwerde zum Entscheid erhoben werden kann, unabdingbar (Hungerbühler/Bucher, DIKE-Komm-ZPO, Art. 321 N 19). Dies bedeutet, dass ein Antrag auf Geldzahlung beziffert werden muss bzw. sich dessen Höhe zumindest aus der Beschwerdebegründung erge- ben muss. b) Der nicht anwaltlich vertretene Gesuchsgegner stellt keinen bestimm- ten Antrag in der Sache. Er macht einzig geltend, der Entscheid sei rechtswidrig und willkürlich, der Rechtsvorschlag sei gültig (Urk. 13). Damit beantragt er sinn- gemäss, dass das angefochtene Urteil der Vorinstanz aufzuheben und das Rechtsöffnungsbegehren des Gesuchstellers abzuweisen sei. Überdies verlangt er eine Parteientschädigung von Fr. 50.– (Urk. 13).</w:t>
      </w:r>
    </w:p>
    <w:p>
      <w:r>
        <w:rPr>
          <w:b/>
        </w:rPr>
        <w:t>E. 4</w:t>
      </w:r>
    </w:p>
    <w:p>
      <w:r>
        <w:t>a) Mit der Beschwerde können unrichtige Rechtsanwendung und of- fensichtlich unrichtige Feststellung des Sachverhalts geltend gemacht werden (Art. 320 ZPO). Im Beschwerdeverfahren gilt das Rügeprinzip (ZK ZPO-Freiburg- haus/Afheldt, Art. 321 N 15), das heisst die Beschwerde führende Partei hat im Einzelnen darzulegen, an welchen Mängeln (unrichtige Rechtsanwendung, offen- sichtlich unrichtige Feststellung des Sachverhalts) der angefochtene Entscheid ih- rer Ansicht nach leidet. Werden keine oder ungenügende Rügen erhoben, stellt dies einen nicht behebbaren Mangel dar (vgl. Art. 132 ZPO). Auf eine solche Be- schwerde ist daher infolge Fehlens einer Zulässigkeitsvoraussetzung nicht einzu- treten (BGer 5A_205/2015 vom 22. Oktober 2015, E. 5.2. mit Hinweisen). b) Vor Vorinstanz hat sich der Gesuchsgegner nicht vernehmen lassen; er ist unentschuldigt nicht zur Verhandlung am 7. Januar 2020 erschienen (Prot. I S. 4). Der Gesuchsgegner führt in seiner Beschwerde nicht aus, was konkret am erstinstanzlichen Entscheid rechtswidrig und willkürlich sein soll. Er setzt sich mit den erstinstanzlichen Erwägungen nicht auseinander und kommt daher seiner Rüge- und Begründungspflicht nicht nach. Im Übrigen hat die Vorinstanz nicht er- wogen, dass der Rechtsvorschlag des Gesuchsgegners "nicht gültig" sei, sondern hat ihn mit dem Entscheid über die Erteilung der Rechtsöffnung im Umfang von</w:t>
      </w:r>
    </w:p>
    <w:p>
      <w:r>
        <w:t>- 4 - Fr. 80.– nebst Zinsen aufgehoben, weil sie die Forderung des Gesuchstellers auf- grund der eingereichten Urkunden und den fehlenden Äusserungen des Ge- suchsgegners für begründet hielt (Urk. 14 S. 3). c) Zusammengefasst erweist sich die Beschwerde des Gesuchgegners als offensichtlich unzulässig, weshalb darauf nicht einzutreten ist. Bei dieser Sachla- ge kann auf das Einholen einer Beschwerdeantwort des Gesuchstellers verzichtet werden (Art. 322 Abs. 1 ZPO).</w:t>
      </w:r>
    </w:p>
    <w:p>
      <w:r>
        <w:rPr>
          <w:b/>
        </w:rPr>
        <w:t>E. 5</w:t>
      </w:r>
    </w:p>
    <w:p>
      <w:r>
        <w:t>Für das Beschwerdeverfahren beträgt der Streitwert Fr. 80.–. Die zweitinstanzliche Entscheidgebühr ist in Anwendung von Art. 48 GebV SchKG in Verbindung mit Art. 61 Abs. 1 GebV SchKG auf Fr. 100.– festzusetzen. Die Ge- richtskosten des Beschwerdeverfahrens sind ausgangsgemäss dem Gesuchs- gegner aufzuerlegen (Art. 106 Abs. 1 ZPO). Für das Beschwerdeverfahren hat der Gesuchsgegner zufolge seines Unterliegens keinen Anspruch auf eine Ent- schädigung; dem Gesuchsteller erwuchs kein erheblicher Aufwand. Demgemäss sind für das Beschwerdeverfahren keine Parteientschädigungen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