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RT200036 vom 14. Mai 2020</w:t>
      </w:r>
    </w:p>
    <w:p>
      <w:r>
        <w:t>ZH Obergericht, 2020-05-14, DE</w:t>
      </w:r>
    </w:p>
    <w:p>
      <w:r>
        <w:rPr>
          <w:b/>
        </w:rPr>
        <w:t xml:space="preserve">Quelle: </w:t>
      </w:r>
      <w:r>
        <w:t>https://mcp.opencaselaw.ch/entscheid/zh_obergericht_RT200036</w:t>
      </w:r>
    </w:p>
    <w:p>
      <w:r>
        <w:t>FR: ZH_OBERGERICHT RT200036 du 14 mai 2020</w:t>
      </w:r>
    </w:p>
    <w:p>
      <w:r>
        <w:t>IT: ZH_OBERGERICHT RT200036 del 14 maggio 2020</w:t>
      </w:r>
    </w:p>
    <w:p>
      <w:pPr>
        <w:pStyle w:val="Heading2"/>
      </w:pPr>
      <w:r>
        <w:t>Erwägungen</w:t>
      </w:r>
    </w:p>
    <w:p>
      <w:r>
        <w:rPr>
          <w:b/>
        </w:rPr>
        <w:t>E. 1</w:t>
      </w:r>
    </w:p>
    <w:p>
      <w:r>
        <w:t>Mit zunächst in unbegründeter (Urk. 6) und hernach auf Gesuch des Gesuchsgegners und Beschwerdeführers (fortan Gesuchsgegner, vgl. Urk. 8) in begründeter Fassung (Urk. 10 = Urk. 14) ergangenem Urteil vom 7. Januar 2020 erteilte die Vorinstanz dem Gesuchsteller und Beschwerdegegner (fortan Ge- suchsteller) in der Betreibung Nr. … des Betreibungsamtes Wald-Fischenthal (Zahlungsbefehl vom 24. September 2019) definitive Rechtsöffnung für Fr. 100.– nebst Zins zu 4.5 % seit 24. September 2019 sowie Fr. 2.65 aufgelaufene Zinsen bis 23. September 2019. Im Mehrbetrag wies sie das Rechtsöffnungsbegehren ab (Urk. 14 S. 4, Dispositiv-Ziffer 1).</w:t>
      </w:r>
    </w:p>
    <w:p>
      <w:r>
        <w:rPr>
          <w:b/>
        </w:rPr>
        <w:t>E. 2</w:t>
      </w:r>
    </w:p>
    <w:p>
      <w:r>
        <w:t>Gegen dieses Urteil erhob der Gesuchsgegner mit Eingabe vom 13. März 2020, eingegangen am 16. März 2020, Beschwerde (Urk. 13). b) Die begründete Fassung des angefochtenen Urteils konnte dem Ge- suchsgegner nicht zugestellt werden, da er die Sendung innerhalb der postali- schen Abholfrist nicht abholte (Urk. 11). Das begründete Urteil gilt daher im Sinne von Art. 138 Abs. 3 lit. a ZPO als am letzten Tag der postalischen Abholfrist, mit- hin als am 6. März 2020, zugestellt (vgl. Aufkleber der Schweizerischen Post mit der Abholfrist: "Frist bis 6.3.", Urk. 11). Die 10-tägige Beschwerdefrist ist gewahrt, wenn die Eingabe spätestens am letzten Tag der Frist beim Gericht eingereicht oder zu dessen Handen der Schweizerischen Post übergeben worden ist (Art. 143 Abs. 1 ZPO). Da die Beschwerde am 16. März 2020 bei der Kammer einging, wurde sie rechtzeitig erhoben.</w:t>
      </w:r>
    </w:p>
    <w:p>
      <w:r>
        <w:rPr>
          <w:b/>
        </w:rPr>
        <w:t>E. 3</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(vgl. ZK ZPO-Reetz/ Theiler, Art. 311 N 34 zur Berufung). Der Beschwerdeentscheid ist grundsätzlich kassatorisch, kann jedoch auch reformatorisch sein. Insbesondere für diesen Fall ist ein Antrag in der Sache, der bei Gutheissung der Beschwerde zum Entscheid erhoben werden kann, unabdingbar (Hungerbühler/Bucher, DIKE-Komm-ZPO,</w:t>
      </w:r>
    </w:p>
    <w:p>
      <w:r>
        <w:t>- 3 - Art. 321 N 19). Dies bedeutet, dass ein Antrag auf Geldzahlung beziffert werden muss bzw. sich dessen Höhe zumindest aus der Beschwerdebegründung erge- ben muss. b) Der nicht anwaltlich vertretene Gesuchsgegner stellt keinen bestimm- ten Antrag in der Sache. Er macht einzig geltend, der Entscheid sei rechtswidrig und willkürlich, der Rechtsvorschlag sei gültig (Urk. 13). Damit beantragt er sinn- gemäss, dass das angefochtene Urteil der Vorinstanz aufzuheben und das Rechtsöffnungsbegehren des Gesuchstellers abzuweisen sei. Überdies verlangt er eine Parteientschädigung von Fr. 50.– (Urk. 13).</w:t>
      </w:r>
    </w:p>
    <w:p>
      <w:r>
        <w:rPr>
          <w:b/>
        </w:rPr>
        <w:t>E. 4</w:t>
      </w:r>
    </w:p>
    <w:p>
      <w:r>
        <w:t>a) Mit der Beschwerde können unrichtige Rechtsanwendung und of- fensichtlich unrichtige Feststellung des Sachverhalts geltend gemacht werden (Art. 320 ZPO). Im Beschwerdeverfahren gilt das Rügeprinzip (ZK ZPO-Freiburg- haus/Afheldt, Art. 321 N 15), das heisst die Beschwerde führende Partei hat im Einzelnen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eine solche Be- schwerde ist daher infolge Fehlens einer Zulässigkeitsvoraussetzung nicht einzu- treten (BGer 5A_205/2015 vom 22. Oktober 2015, E. 5.2. mit Hinweisen). b) Vor Vorinstanz hat sich der Gesuchsgegner nicht vernehmen lassen; er ist unentschuldigt nicht zur Verhandlung am 7. Januar 2020 erschienen (Prot. I S. 4). Der Gesuchsgegner führt in seiner Beschwerde nicht aus, was konkret am erstinstanzlichen Entscheid rechtswidrig und willkürlich sein soll. Er setzt sich mit den erstinstanzlichen Erwägungen nicht auseinander und kommt daher seiner Rüge- und Begründungspflicht nicht nach. Im Übrigen hat die Vorinstanz nicht er- wogen, dass der Rechtsvorschlag des Gesuchsgegners "nicht gültig" sei, sondern hat ihn mit dem Entscheid über die Erteilung der Rechtsöffnung im Umfang von Fr. 100.– nebst Zinsen aufgehoben, weil sie die Forderung des Gesuchstellers aufgrund der eingereichten Urkunden und den fehlenden Äusserungen des Ge- suchsgegners für begründet hielt (Urk. 14 S. 3).</w:t>
      </w:r>
    </w:p>
    <w:p>
      <w:r>
        <w:t>- 4 - c) Zusammengefasst erweist sich die Beschwerde des Gesuchgegners als offensichtlich unzulässig, weshalb darauf nicht einzutreten ist. Bei dieser Sachla- ge kann auf das Einholen einer Beschwerdeantwort des Gesuchstellers verzichtet werden (Art. 322 Abs. 1 ZPO).</w:t>
      </w:r>
    </w:p>
    <w:p>
      <w:r>
        <w:rPr>
          <w:b/>
        </w:rPr>
        <w:t>E. 5</w:t>
      </w:r>
    </w:p>
    <w:p>
      <w:r>
        <w:t>Für das Beschwerdeverfahren beträgt der Streitwert Fr. 100.–. Die zweitinstanzliche Entscheidgebühr ist in Anwendung von Art. 48 GebV SchKG in Verbindung mit Art. 61 Abs. 1 GebV SchKG auf Fr. 100.– festzusetzen. Die Ge- richtskosten des Beschwerdeverfahrens sind ausgangsgemäss dem Gesuchs- gegner aufzuerlegen (Art. 106 Abs. 1 ZPO). Für das Beschwerdeverfahren hat der Gesuchsgegner zufolge seines Unterliegens keinen Anspruch auf eine Ent- schädigung; dem Gesuchsteller erwuchs kein erheblicher Aufwand. Demgemäss sind für das Beschwerdeverfahren keine Parteientschädigungen zuzusprechen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