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RT200033 vom 30. März 2020</w:t>
      </w:r>
    </w:p>
    <w:p>
      <w:r>
        <w:t>ZH Obergericht, 2020-03-30, DE</w:t>
      </w:r>
    </w:p>
    <w:p>
      <w:r>
        <w:rPr>
          <w:b/>
        </w:rPr>
        <w:t xml:space="preserve">Quelle: </w:t>
      </w:r>
      <w:r>
        <w:t>https://mcp.opencaselaw.ch/entscheid/zh_obergericht_RT200033</w:t>
      </w:r>
    </w:p>
    <w:p>
      <w:r>
        <w:t>FR: ZH_OBERGERICHT RT200033 du 30 mars 2020</w:t>
      </w:r>
    </w:p>
    <w:p>
      <w:r>
        <w:t>IT: ZH_OBERGERICHT RT200033 del 30 marzo 2020</w:t>
      </w:r>
    </w:p>
    <w:p>
      <w:pPr>
        <w:pStyle w:val="Heading2"/>
      </w:pPr>
      <w:r>
        <w:t>Erwägungen</w:t>
      </w:r>
    </w:p>
    <w:p>
      <w:r>
        <w:rPr>
          <w:b/>
        </w:rPr>
        <w:t>E. 1</w:t>
      </w:r>
    </w:p>
    <w:p>
      <w:r>
        <w:t>a) Mit Urteil vom 9. Januar 2020 erteilte das Bezirksgericht Hinwil (Vorinstanz) dem Gesuchsteller in der Betreibung Nr. 1 des Betreibungsamts Wetzikon (Zahlungsbefehl vom 20. Mai 2019) – gestützt auf verschiedene Ge- richtsurteile und einen Strafbefehl – definitive Rechtsöffnung für Fr. 10'055.60, für die Betreibungskosten (inkl. Kosten des Arrestbefehls von Fr. 500.-- sowie der Ar- resturkunde im Arrestverfahren Nr. 2) sowie für Kosten und Entschädigung ge- mäss diesem Entscheid (Urk. 23 = Urk. 27). b) Hiergegen erhob die Gesuchsgegnerin am 10. März 2020 eine als "Rekurs" bezeichnete Beschwerde (Urk. 26). c) Die vorinstanzlichen Akten wurden beigezogen. Da sich die Beschwer- de sogleich als offensichtlich unzulässig erweist, kann auf weitere Prozesshand- lungen verzichtet werden (vgl. Art. 322 Abs. 1 ZPO).</w:t>
      </w:r>
    </w:p>
    <w:p>
      <w:r>
        <w:rPr>
          <w:b/>
        </w:rPr>
        <w:t>E. 2</w:t>
      </w:r>
    </w:p>
    <w:p>
      <w:r>
        <w:t>Das angefochtene Urteil wurde der Gesuchsgegnerin am 17. Februar 2020 zugestellt (Urk. 24). Die Frist zur Erhebung der Beschwerde beträgt 10 Tage (Art. 321 Abs. 2 i.V.m. Art. 251 lit. a ZPO), was auch von der Vorinstanz in der Rechtsmittelbelehrung (Urk. 27 Dispositiv-Ziffer 6) korrekt angegeben wurde. Die Frist lief demzufolge am 27. Februar 2020 ab (Art. 142 ZPO; der seither infolge des Corona-Virus vom Bundesrat verordnete Fristenstillstand ab 19. März 2020 hat auf diese Frist keinen Einfluss). Sie wird eingehalten durch Einreichung der Beschwerde beim Obergericht oder durch Postaufgabe an diesem Tag (Art. 143 Abs. 1 ZPO). Die Beschwerde wurde allerdings erst am 10. März 2020 zur Post gegeben (Briefumschlag bei Urk. 26) und ist am 13. März 2020 beim Obergericht eingegangen (Eingangsstempel auf Urk. 26). Die Beschwerde ist damit verspätet erhoben worden. Auf sie kann demzufolge nicht eingetreten werden.</w:t>
      </w:r>
    </w:p>
    <w:p>
      <w:r>
        <w:rPr>
          <w:b/>
        </w:rPr>
        <w:t>E. 3</w:t>
      </w:r>
    </w:p>
    <w:p>
      <w:r>
        <w:t>Die Gesuchsgegnerin macht geltend, die angegebene Adresse in B._____ [Ort] sei falsch; sie wohne seit bald 10 Jahren nicht mehr in B._____ (Urk. 26). Nachdem die im Rubrum erfasste Adresse jedoch vom Bundesamt für Justiz am 14. Oktober 2019 genau so mitgeteilt wurde (Urk. 8; vgl. auch Urk. 27</w:t>
      </w:r>
    </w:p>
    <w:p>
      <w:r>
        <w:t>- 3 - S. 2), die Gesuchsgegnerin hiergegen keine substantiierten Beanstandungen er- hebt und sie schon gar keine aktuelle Wohnadresse bekanntgibt, bleibt es bei der erfassten Adresse. Die von der Gesuchsgegnerin genannte Postfachadresse (Urk. 26) ist als Zustelladresse aufzunehmen.</w:t>
      </w:r>
    </w:p>
    <w:p>
      <w:r>
        <w:rPr>
          <w:b/>
        </w:rPr>
        <w:t>E. 4</w:t>
      </w:r>
    </w:p>
    <w:p>
      <w:r>
        <w:t>a) Der Streitwert für das Beschwerdeverfahren beträgt Fr. 10'055.60. Die zweitinstanzliche Entscheidgebühr ist in Anwendung von Art. 48 i.V.m. Art. 61 Abs. 1 GebV SchKG auf Fr. 300.--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