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RT200019 vom 26. Februar 2020</w:t>
      </w:r>
    </w:p>
    <w:p>
      <w:r>
        <w:t>ZH Obergericht, 2020-02-26, DE</w:t>
      </w:r>
    </w:p>
    <w:p>
      <w:r>
        <w:rPr>
          <w:b/>
        </w:rPr>
        <w:t xml:space="preserve">Quelle: </w:t>
      </w:r>
      <w:r>
        <w:t>https://mcp.opencaselaw.ch/entscheid/zh_obergericht_RT200019</w:t>
      </w:r>
    </w:p>
    <w:p>
      <w:r>
        <w:t>FR: ZH_OBERGERICHT RT200019 du 26 février 2020</w:t>
      </w:r>
    </w:p>
    <w:p>
      <w:r>
        <w:t>IT: ZH_OBERGERICHT RT200019 del 26 febbraio 2020</w:t>
      </w:r>
    </w:p>
    <w:p>
      <w:pPr>
        <w:pStyle w:val="Heading2"/>
      </w:pPr>
      <w:r>
        <w:t>Erwägungen</w:t>
      </w:r>
    </w:p>
    <w:p>
      <w:r>
        <w:rPr>
          <w:b/>
        </w:rPr>
        <w:t>E. 1</w:t>
      </w:r>
    </w:p>
    <w:p>
      <w:r>
        <w:t>a) Die Parteien stehen vor Erstinstanz in einem Rechtsöffnungsverfahren. Mit Verfügung vom 27. Januar 2020 wurde den Gesuchstellern und Beschwerde- gegnern (fortan Gesuchsteller) eine Frist von zehn Tagen angesetzt, um für die Gerichtskosten bei der Bezirksgerichtskasse Pfäffikon einen Barvorschuss von Fr. 300.– zu leisten (Urk. 2 S. 2 Dispositivziffer 1). b) Mit Eingabe vom 4. Februar 2020 erhob die Gesuchsgegnerin und Be- schwerdeführerin (fortan Gesuchsgegnerin) innert Frist gegen obgenannte Verfü- gung Beschwerde mit folgenden Anträgen (Urk. 1 S. 2): " Hiermit beantrage ich folgendes: - diese Beschwerde gegen den Rechtseröffnungsentscheid gut zu heissen - die Verfügung vom 27. Januar 2020 zurückzuziehen - die Betreibung (Nr. …) zu löschen - die falsch ausgestellten Rechnungen zu stornieren."</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Gesuchsgegnerin wurde durch die angefochtene Verfügung zu nichts verpflichtet, da nicht sie, sondern die Gesuchsteller den Kostenvorschuss von Fr. 300.– zu leisten haben. Ihr ist deshalb durch die angefochtene Verfügung kein Nachteil entstanden. Auf die Beschwerde der Gesuchsgegnerin ist demnach mangels Beschwer nicht einzutreten.</w:t>
      </w:r>
    </w:p>
    <w:p>
      <w:r>
        <w:t>- 3 -</w:t>
      </w:r>
    </w:p>
    <w:p>
      <w:r>
        <w:rPr>
          <w:b/>
        </w:rPr>
        <w:t>E. 3</w:t>
      </w:r>
    </w:p>
    <w:p>
      <w:r>
        <w:t>Es rechtfertigt sich, für das Beschwerdeverfahren umständehalber auf Kostenerhebung zu verzichten. Mangels wesentlicher Umtriebe ist den Gesuch- stellern für das Beschwerdeverfahren keine Entschädigung zuzusprechen (Art. 95 Abs. 3 ZPO). Die Gesuchsgegnerin ihrerseits hat als unterliegende Partei keinen Anspruch auf Entschädigung (vgl. Art. 106 Abs. 1 ZPO), wobei sie im Beschwer- deverfahren ohnehin keinen diesbezüglichen Antrag stellte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