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RT190215 vom 10. Juni 2020</w:t>
      </w:r>
    </w:p>
    <w:p>
      <w:r>
        <w:t>ZH Obergericht, 2020-06-10, DE</w:t>
      </w:r>
    </w:p>
    <w:p>
      <w:r>
        <w:rPr>
          <w:b/>
        </w:rPr>
        <w:t xml:space="preserve">Quelle: </w:t>
      </w:r>
      <w:r>
        <w:t>https://mcp.opencaselaw.ch/entscheid/zh_obergericht_RT190215</w:t>
      </w:r>
    </w:p>
    <w:p>
      <w:r>
        <w:t>FR: ZH_OBERGERICHT RT190215 du 10 juin 2020</w:t>
      </w:r>
    </w:p>
    <w:p>
      <w:r>
        <w:t>IT: ZH_OBERGERICHT RT190215 del 10 giugno 2020</w:t>
      </w:r>
    </w:p>
    <w:p>
      <w:pPr>
        <w:pStyle w:val="Heading2"/>
      </w:pPr>
      <w:r>
        <w:t>Erwägungen</w:t>
      </w:r>
    </w:p>
    <w:p>
      <w:r>
        <w:rPr>
          <w:b/>
        </w:rPr>
        <w:t>E. 2</w:t>
      </w:r>
    </w:p>
    <w:p>
      <w:r>
        <w:t>Dezember 2019 – unter Übernahme sämtlicher Kosten zurück (Urk. 10). 3.3 Ein Klagerückzug ist unbeschränkt, d.h. in jeder Verfahrensart und in jedem Verfahrensstadium zulässig (BK ZPO-Killias, Art. 241 N 19; Leumann Lieb- ster, in: Sutter-Somm/Hasenböhler/Leuenberger, ZPO-Komm., Art. 241 N 11). Vorliegend erfolgte der Rückzug nach Erlass des vorinstanzlichen Endentschei- des, weshalb die Vorinstanz nicht mehr befugt war, auf ihren eigenen verkünde- ten Entscheid zurückzukommen, zumal ein Gericht an das von ihm erlassene und eröffnete Urteil gebunden ist (vgl. BGE 122 I 97 E. 3.bb). Da vorliegend jedoch Beschwerde gegen das vorinstanzliche Urteil eingelegt wurde, ist die Rückzugs- erklärung beachtlich (Kriech, DIKE-Komm-ZPO, Art. 241 N 11; Leumann Liebster, a.a.O., Art. 241 N 14); sie springt trotz fehlender Einbringung im Beschwerdever- fahren geradezu ins Auge (vgl. OGer ZH RE190004 vom 16.07.2019, E. 2.2, S. 4). Die Rückzugserklärung ist sodann bedingungsfeindlich. Nach Zugang beim Gericht kann die Erklärung von der klagenden Partei auch nicht mehr widerrufen werden (BK ZPO-Killias, Art. 241 N 6 mit Verweis auf ZR 108 [2009] Nr. 5, E. 4.3 c). Die Gesuchsteller liessen sich im Beschwerdeverfahren denn auch nicht mehr vernehmen (vgl. Urk. 16). Demnach ist das vorinstanzliche Urteil vom 21. November 2019 aufzuheben und das Verfahren als durch Rückzug des Ge- suchs erledigt abzuschreiben (Art. 241 Abs. 3 ZPO). Damit erübrigt es sich, auf die Einwendungen des Gesuchsgegners einzugehen. 4.1 Die Kosten des erstinstanzlichen Verfahrens sind mit Blick auf das Schreiben der Gesuchsteller vom 28. November 2019 zur Hälfte der Gesuchstel- lerin 2 aufzuerlegen (Art. 106 Abs. 1 ZPO; Urk. 10). Der Kostenanteil des Ge- suchstellers 1 ist auf die Staatskasse zu nehmen (§ 200 GOG).</w:t>
      </w:r>
    </w:p>
    <w:p>
      <w:r>
        <w:t>- 4 - 4.2 Die Gerichtskosten des Beschwerdeverfahrens sind in Anwendung von Art. 48 in Verbindung mit Art. 61 GebV SchKG auf Fr. 300.– festzusetzen und ausgangsgemäss zur Hälfte der unterliegenden Gesuchstellerin 2 aufzuerlegen (Art. 106 Abs. 2 ZPO). Der übrige Kostenanteil des unterliegenden Gesuchstel- lers 1 ist auf die Staatskasse zu nehmen (§ 200 GOG). 4.3 Der Gesuchsgegner stellte keinen Antrag auf Zusprechung einer Par- teientschädigung. Entsprechend ist ihm eine solche weder für das erst- noch das zweitinstanzliche Verfahren zuzusprechen. Den Gesuchstellern ist zufolge ihres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