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RT190175 vom 21. April 2020</w:t>
      </w:r>
    </w:p>
    <w:p>
      <w:r>
        <w:t>ZH Obergericht, 2020-04-21, DE</w:t>
      </w:r>
    </w:p>
    <w:p>
      <w:r>
        <w:rPr>
          <w:b/>
        </w:rPr>
        <w:t xml:space="preserve">Quelle: </w:t>
      </w:r>
      <w:r>
        <w:t>https://mcp.opencaselaw.ch/entscheid/zh_obergericht_RT190175</w:t>
      </w:r>
    </w:p>
    <w:p>
      <w:r>
        <w:t>FR: ZH_OBERGERICHT RT190175 du 21 avril 2020</w:t>
      </w:r>
    </w:p>
    <w:p>
      <w:r>
        <w:t>IT: ZH_OBERGERICHT RT190175 del 21 aprile 2020</w:t>
      </w:r>
    </w:p>
    <w:p>
      <w:pPr>
        <w:pStyle w:val="Heading2"/>
      </w:pPr>
      <w:r>
        <w:t>Erwägungen</w:t>
      </w:r>
    </w:p>
    <w:p>
      <w:r>
        <w:rPr>
          <w:b/>
        </w:rPr>
        <w:t>E. 1</w:t>
      </w:r>
    </w:p>
    <w:p>
      <w:r>
        <w:t>a) Mit Urteil vom 24. Oktober 2019 erteilte die Vorinstanz der Gesuchstel- lerin und Beschwerdegegnerin (fortan Gesuchstellerin) in der Betreibung Nr. … des Betreibungsamtes Elgg (Zahlungsbefehl vom 16. April 2019) gestützt auf die Vereinbarung vom 29. Juni 2015 sowie die Zusatzvereinbarung vom 22. Juli 2016 für eine ausstehende Forderung provisorische Rechtsöffnung für Fr. 70'000.– nebst 5% Zins seit 1. Januar 2019 sowie Kosten und Entschädigung gemäss den Dispositivziffern 2 bis 4 des Urteils (Urk. 7 = Urk. 11). b) Hiergegen erhob der Gesuchsgegner und Beschwerdeführer (fortan Ge- suchsgegner) mit Eingabe vom 7. November 2019 innert Frist Beschwerde mit dem sinngemässen Antrag auf Abweisung des Rechtsöffnungsbegehrens bzw. Nichtigerklärung der betriebenen Forderung (Urk. 10). Mit Verfügung vom 11. November 2019 wurde dem Gesuchsgegner Frist angesetzt, um für die Gerichtskosten des Beschwerdeverfahrens einen Kosten- vorschuss in der Höhe von Fr. 500.– zu leisten. Gleichzeitig wurde ihm Nachfrist angesetzt, um die im Beschwerdeverfahren eingereichten Beilagen zu nummerie- ren und ein Beilagenverzeichnis zu erstellen (Urk. 15 S. 3). Sodann wurde der Gesuchsgegner mit dieser Verfügung darauf hingewiesen, dass eine Aberken- nungsklage innert 20 Tagen nach Zustellung des angefochtenen Urteils beim zu- ständigen Gericht einzureichen sei (Urk. 15 S. 2). Der Kostenvorschuss, das Bei- lagenverzeichnis und die nummerierten Beilagen gingen innert Frist ein (Urk. 16, Urk. 18, Urk. 19/1-9). Mit Eingabe vom 18. November 2019 (Datum Poststempel: 19. November 2019, eingegangen am 20. November 2019) erhob der Gesuchsgegner hierorts Aberkennungsklage (Urk. 17). Hierfür wurde unter der Geschäfts-Nr. LB190061-O ein separates Verfahren eröffnet.</w:t>
      </w:r>
    </w:p>
    <w:p>
      <w:r>
        <w:rPr>
          <w:b/>
        </w:rPr>
        <w:t>E. 2</w:t>
      </w:r>
    </w:p>
    <w:p>
      <w:r>
        <w:t>a)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w:t>
      </w:r>
    </w:p>
    <w:p>
      <w:r>
        <w:t>- 3 -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BGer 5A_247/2013 vom 15. Oktober 2013, E. 3 m.w.H.; BGer 5D_65/2014 vom 9. September 2014, E. 5.4.1 m.w.H.). Was in der Beschwerde nicht oder nicht in einer den gesetzlichen Begründungsanforderungen genügen- den Weise beanstandet wird, braucht von der Rechtsmittelinstanz nicht überprüft zu werden. Das gilt zumindest insoweit, als ein Mangel nicht geradezu ins Auge springt. Insofern erfährt der Grundsatz der Rechtsanwendung von Amtes wegen (Art. 57 ZPO) im Beschwerdeverfahren eine Relativierung (BK ZPO-Hurni, Art. 57 N 21 und N 39 ff.). b)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m.w.H.; BGer 5A_405/2011 vom 27. September 2011, E. 4.5.3 m.w.H.; vgl. aber immerhin auch BGer 4A_51/2015 vom 20. April 2015, E. 4.5.1 m.w.H.).</w:t>
      </w:r>
    </w:p>
    <w:p>
      <w:r>
        <w:rPr>
          <w:b/>
        </w:rPr>
        <w:t>E. 3</w:t>
      </w:r>
    </w:p>
    <w:p>
      <w:r>
        <w:t>a) Der Gesuchsgegner hatte vor Vorinstanz geltend gemacht, er sei im Zeitpunkt der Unterzeichnung der Vereinbarung vom 29. Juni 2015 urteilsunfähig gewesen. Zudem sei er unter Druck gesetzt und zur Unterzeichnung der Verein- barung gezwungen worden. Schliesslich hielt er fest, die Behauptung der Ge- suchstellerin stimme nicht, wonach er während der Dauer seiner Krankschreibung gearbeitet habe (Urk. 5). Diese Einwände verwarf die Vorinstanz allesamt mit der Begründung, der Gesuchsgegner begnüge sich damit, diese Behauptungen ledig- lich in pauschaler Weise aufzustellen. Er reiche keinerlei Unterlagen ein und lege nicht einmal näher dar, warum er zu diesem Zeitpunkt nicht hätte urteilsfähig sein sollen. Sie ging davon aus, dass auch der vom Gesuchsgegner in Aussicht ge-</w:t>
      </w:r>
    </w:p>
    <w:p>
      <w:r>
        <w:t>- 4 - stellte hausärztliche Bericht kaum genügen dürfte, um die diesbezüglich hohen Anforderungen an den Nachweis der Handlungsunfähigkeit zu erbringen. Damit vermöge er die Vermutung seiner Handlungsfähigkeit im Zeitpunkt der Unter- zeichnung der Vereinbarung nicht umzustossen. Ebenso erachtete die Vorinstanz die weiteren Einwände des Gesuchsgegners als zu pauschal und als nicht belegt, weshalb es ihm nicht gelinge, den Rechtsöffnungstitel zu entkräften. Schliesslich wies sie darauf hin, dass der Gesuchsgegner am 22. Juli 2016 erneut eine Schuldanerkennung unterzeichnet habe. Diesbezüglich bringe er nicht vor, zu diesem Zeitpunkt urteilsunfähig gewesen oder unter Druck gesetzt worden zu sein. Damit stelle die Vereinbarung vom 29. Juni 2015 bzw. die zusätzliche Ver- einbarung vom 22. Juli 2016 einen provisorischen Rechtsöffnungstitel dar (Urk. 7 S. 4 f.). b) Erstmals im Beschwerdeverfahren reicht der Gesuchsgegner einen Sta- pel Berichte verschiedener Ärzte und weitere Unterlagen bezüglich seiner ge- sundheitlichen Situation betreffend die Jahre 2012 bis 2019 ins Recht (Urk. 9/9). Hierzu führt er an, dass diese Unterlagen belegten, dass er im Zeitpunkt der Un- terschrift einem Willensmangel unterlegen und im damaligen Zeitpunkt krank ge- wesen sei (Urk. 10). Bei diesen Unterlagen handelt es sich um neue Beweismittel, welche im Be- schwerdeverfahren aufgrund des umfassenden Novenverbots (vgl. Erwägung 2.b hiervor) unzulässig und dementsprechend unbeachtlich sind. Ohnehin würde der blosse Verweis auf einen Stapel Unterlagen der dem Gesuchsgegner obliegen- den Substantiierungspflicht nicht genügen. Mit Blick auf die vorliegend anwendba- re Verhandlungsmaxime ist es nicht Sache des Gerichts, aus den eingereichten Beilagen die massgeblichen Informationen zusammenzutragen (Art. 55 Abs. 1 ZPO). So muss die Begründung in der Rechtsmittelschrift selbst enthalten sein (BGer 5D_215/2015 vom 16. März 2016, E. 3.1 m.w.H.). Demnach ändern die nun eingereichten ärztlichen Berichte nichts an den Feststellungen der Vorin- stanz, wonach der Gesuchsgegner nicht hinreichend belegte, im Zeitpunkt der Unterschrift der Vereinbarung vom 29. Juni 2015 urteilsunfähig gewesen oder un- ter Druck gesetzt worden zu sein. Schliesslich setzt sich der Gesuchsgegner ins-</w:t>
      </w:r>
    </w:p>
    <w:p>
      <w:r>
        <w:t>- 5 - besondere nicht mit der Erwägungen der Vorinstanz auseinander, wonach er am 22. Juli 2016 eine Zusatzvereinbarung unterzeichnet habe, ohne für diesen Zeit- punkt geltend zu machen, urteilsunfähig gewesen oder unter Druck gesetzt wor- den zu sein. c) Im Übrigen setzt sich der Gesuchsgegner auch mit den weiteren Erwä- gungen der Vorinstanz nicht auseinander, sondern wiederholt hauptsächlich sinn- gemäss das bereits vor Vorinstanz Ausgeführte (Urk. 10). Diesbezüglich vermag die Beschwerdeschrift den gesetzlichen Vorgaben – wie in vorstehender Erwä- gung 2.a dargelegt – nicht zu genügen. d) Dementsprechend ist auf die Beschwerde nicht einzutreten.</w:t>
      </w:r>
    </w:p>
    <w:p>
      <w:r>
        <w:rPr>
          <w:b/>
        </w:rPr>
        <w:t>E. 4</w:t>
      </w:r>
    </w:p>
    <w:p>
      <w:r>
        <w:t>a) Die Entscheidgebühr für das Beschwerdeverfahren ist in Anwendung von Art. 48 i.V.m. Art. 61 Abs. 1 GebV SchKG auf Fr. 500.– festzusetzen. Die Ge- richtskosten sind ausgangsgemäss dem Gesuchsgegner aufzuerlegen (Art. 106 Abs. 1 ZPO) und mit seinem Kostenvorschuss zu verrechnen (Art. 111 Abs. 1 ZPO). b) Der Gesuchstellerin ist mangels relevanter Umtriebe im Beschwerdever- fahren keine Parteientschädigung zuzusprechen (vgl. Art. 95 Abs. 3 ZPO). Der Gesuchsgegner hat im Beschwerdeverfahren keinen entsprechenden Antrag ge- stellt. Ohnehin wäre ihm zufolge Unterliegens keine Parteientschädigung zuzu- 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