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RT190161 vom 13. November 2019</w:t>
      </w:r>
    </w:p>
    <w:p>
      <w:r>
        <w:t>ZH Obergericht, 2019-11-13, DE</w:t>
      </w:r>
    </w:p>
    <w:p>
      <w:r>
        <w:rPr>
          <w:b/>
        </w:rPr>
        <w:t xml:space="preserve">Quelle: </w:t>
      </w:r>
      <w:r>
        <w:t>https://mcp.opencaselaw.ch/entscheid/zh_obergericht_RT190161</w:t>
      </w:r>
    </w:p>
    <w:p>
      <w:r>
        <w:t>FR: ZH_OBERGERICHT RT190161 du 13 novembre 2019</w:t>
      </w:r>
    </w:p>
    <w:p>
      <w:r>
        <w:t>IT: ZH_OBERGERICHT RT190161 del 13 novembre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Kanton Zürich,</w:t>
      </w:r>
    </w:p>
    <w:p>
      <w:r>
        <w:rPr>
          <w:b/>
        </w:rPr>
        <w:t>E. 2</w:t>
      </w:r>
    </w:p>
    <w:p>
      <w:r>
        <w:t>Stadt B._____,</w:t>
      </w:r>
    </w:p>
    <w:p>
      <w:r>
        <w:rPr>
          <w:b/>
        </w:rPr>
        <w:t>E. 3</w:t>
      </w:r>
    </w:p>
    <w:p>
      <w:r>
        <w:t>Römisch-Katholische Kirchgemeinde B._____,</w:t>
      </w:r>
    </w:p>
    <w:p>
      <w:r>
        <w:rPr>
          <w:b/>
        </w:rPr>
        <w:t>E. 4</w:t>
      </w:r>
    </w:p>
    <w:p>
      <w:r>
        <w:t>Reformierte Kirchgemeinde B._____, Gesuchsteller und Beschwerdegegner 1, 2, 3, 4 vertreten durch Steueramt der Stadt B._____, betreffend Rechtsöffnung Beschwerde gegen ein Urteil des Einzelgerichts Audienz am Bezirksgericht Zürich vom 17. September 2019 (EB190948-L)</w:t>
      </w:r>
    </w:p>
    <w:p>
      <w:r>
        <w:t>- 2 - Nach Einsicht in die Beschwerdeschrift der Beschwerdeführerin vom</w:t>
      </w:r>
    </w:p>
    <w:p>
      <w:r>
        <w:rPr>
          <w:b/>
        </w:rPr>
        <w:t>E. 9</w:t>
      </w:r>
    </w:p>
    <w:p>
      <w:r>
        <w:t>September 2019 (Datum Poststempel: 9. Oktober 2019, eingegangen am</w:t>
      </w:r>
    </w:p>
    <w:p>
      <w:r>
        <w:rPr>
          <w:b/>
        </w:rPr>
        <w:t>E. 10</w:t>
      </w:r>
    </w:p>
    <w:p>
      <w:r>
        <w:t>Oktober 2019; Urk. 9), in der Erwägung, dass diese Eingabe allein vom Präsidenten der Verwaltung, C._____, unter- zeichnet worden ist (Urk. 9), welcher gemäss Eintrag im Handelsregister des Kan- tons Zürich lediglich kollektivzeichnungsberechtigt ist, dass den Akten auch keine anderslautende Vollmacht entnommen werden kann, welche den Unterzeichnenden als für die Beschwerdeführerin allein zeich- nungs- und damit handlungsberechtigt bezeichnet, dass der Beschwerdeführerin dementsprechend mit Verfügung vom 14. Ok- tober 2019 im Sinne von Art. 132 Abs. 1 ZPO Nachfrist angesetzt wurde, um die Eingabe zu verbessern und sie mit einer gültigen Unterschrift zu versehen (Art. 130 Abs. 1 ZPO) bzw. eine entsprechende Vollmacht einzureichen (Urk. 11 S. 2), dass der Beschwerdeführerin zudem gleichzeitig Frist zur Leistung eines Kostenvorschusses in der Höhe von Fr. 300.– angesetzt wurde (Urk. 11 S. 2 f.), dass die Beschwerdeführerin die Eingabe innert Frist (Datum Fristablauf: 4. November 2019) nicht verbesserte und auch keine Vollmacht zugunsten von C._____ einreichte, dass es die Beschwerdeführerin damit versäumte, ihre Eingabe vom 9. Sep- tember 2019 zu verbessern, weshalb diese Eingabe androhungsgemäss als nicht erfolgt gilt (vgl. BGer 4A_246/2013 vom 8. Juli 2013 m.w.H.) und das Verfahren entsprechend abzuschreiben ist, dass demzufolge die Entscheidgebühr für das Beschwerdeverfahren in An- wendung von Art. 48 i.V.m. Art. 61 Abs. 1 GebV SchKG (vgl. ZR 110/2011 Nr. 28) auf Fr. 300.– festzusetzen und, da es sich um unnötige Kosten handelt, dem vollmachtlos handelnden Vertreter, C._____, aufzuerlegen ist (Art. 108 ZPO),</w:t>
      </w:r>
    </w:p>
    <w:p>
      <w:r>
        <w:t>- 3 - dass den Beschwerdegegnern mangels relevanter Umtriebe im Beschwer- deverfahren und der Beschwerdeführerin zufolge ihres Unterliegens keine Partei- entschädigung zuzusprechen ist (vgl. Art. 95 Abs. 3 ZPO; Art. 106 Abs. 1 ZPO),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