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RT190153 vom 10. Oktober 2019</w:t>
      </w:r>
    </w:p>
    <w:p>
      <w:r>
        <w:t>ZH Obergericht, 2019-10-10, DE</w:t>
      </w:r>
    </w:p>
    <w:p>
      <w:r>
        <w:rPr>
          <w:b/>
        </w:rPr>
        <w:t xml:space="preserve">Quelle: </w:t>
      </w:r>
      <w:r>
        <w:t>https://mcp.opencaselaw.ch/entscheid/zh_obergericht_RT190153</w:t>
      </w:r>
    </w:p>
    <w:p>
      <w:r>
        <w:t>FR: ZH_OBERGERICHT RT190153 du 10 octobre 2019</w:t>
      </w:r>
    </w:p>
    <w:p>
      <w:r>
        <w:t>IT: ZH_OBERGERICHT RT190153 del 10 ottobre 2019</w:t>
      </w:r>
    </w:p>
    <w:p>
      <w:pPr>
        <w:pStyle w:val="Heading2"/>
      </w:pPr>
      <w:r>
        <w:t>Erwägungen</w:t>
      </w:r>
    </w:p>
    <w:p>
      <w:r>
        <w:rPr>
          <w:b/>
        </w:rPr>
        <w:t>E. 1</w:t>
      </w:r>
    </w:p>
    <w:p>
      <w:r>
        <w:t>Mit Eingabe vom 10. September 2019 verlangten die Gesuchsteller und Beschwerdegegner (fortan Gesuchsteller) vor Vorinstanz die Erteilung der definitiven Rechtsöffnung über Fr. 825.55. Mit Verfügung vom 13. September 2019 setzte die Vorinstanz den Gesuchstellern eine Frist von 14 Tagen ab Zustel- lung an, um für die mutmasslichen Gerichtskosten des Rechtsöffnungsverfahrens einen Kostenvorschuss von Fr. 150.– zu leisten (Urk. 2).</w:t>
      </w:r>
    </w:p>
    <w:p>
      <w:r>
        <w:rPr>
          <w:b/>
        </w:rPr>
        <w:t>E. 2</w:t>
      </w:r>
    </w:p>
    <w:p>
      <w:r>
        <w:t>a) Gegen diese Verfügung erhob die Gesuchsgegnerin und Beschwer- deführerin (fortan Gesuchsgegnerin) innert Frist (vgl. Urk. 6) mit Eingabe vom</w:t>
      </w:r>
    </w:p>
    <w:p>
      <w:r>
        <w:rPr>
          <w:b/>
        </w:rPr>
        <w:t>E. 3</w:t>
      </w:r>
    </w:p>
    <w:p>
      <w:r>
        <w:t>a) Das Gericht prüft von Amtes wegen, ob die Prozessvoraussetzun- gen erfüllt sind (Art. 60 ZPO). Hierzu gehört unter anderem die Frage, ob die Par- tei, welche ein Rechtsmittel einlegt, durch den angefochtenen Entscheid be- schwert ist (Art. 59 Abs. 2 lit. a ZPO), das heisst, ob sie einen Nachteil erleidet. b) Die Gesuchsgegnerin wurde mit der angefochtenen Verfügung vom 13. September 2019 zu nichts verpflichtet. Vielmehr wurde die gesuchstellende Partei zur Leistung eines Kostenvorschusses verpflichtet (Urk. 2 S. 3, Dispositiv- Ziffer 1). Der Gesuchsgegnerin erwächst demgegenüber aus der angefochtenen Verfügung kein Nachteil, weshalb sie dadurch nicht beschwert ist. Auf ihre Be- schwerde ist daher nicht einzutreten. Festzuhalten bleibt, dass sie sich zur be- haupteten (Steuer-)Forderung der Gesuchsteller im Rahmen des vorinstanzlichen Verfahrens wird äussern können.</w:t>
      </w:r>
    </w:p>
    <w:p>
      <w:r>
        <w:t>- 3 -</w:t>
      </w:r>
    </w:p>
    <w:p>
      <w:r>
        <w:rPr>
          <w:b/>
        </w:rPr>
        <w:t>E. 4</w:t>
      </w:r>
    </w:p>
    <w:p>
      <w:r>
        <w:t>Damit erweist sich die vorliegende Beschwerde als offensichtlich unzu- lässig, weshalb auf das Einholen einer Beschwerdeantwort der Gegenpartei ver- zichtet werden kann (Art. 322 Abs. 1 ZPO). 5.a) Umständehalber ist auf die Erhebung einer Gerichtsgebühr für das Be- schwerdeverfahren zu verzichten. b) Für das Beschwerdeverfahren sind sodann keine Parteientschädigun- gen zuzusprechen, der Gesuchsgegnerin infolge ihres Unterliegens, den Gesuch- stellern mangels erheblicher Umtriebe im Beschwerdeverfahren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