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RT190150 vom 17. Dezember 2019</w:t>
      </w:r>
    </w:p>
    <w:p>
      <w:r>
        <w:t>ZH Obergericht, 2019-12-17, DE</w:t>
      </w:r>
    </w:p>
    <w:p>
      <w:r>
        <w:rPr>
          <w:b/>
        </w:rPr>
        <w:t xml:space="preserve">Quelle: </w:t>
      </w:r>
      <w:r>
        <w:t>https://mcp.opencaselaw.ch/entscheid/zh_obergericht_RT190150</w:t>
      </w:r>
    </w:p>
    <w:p>
      <w:r>
        <w:t>FR: ZH_OBERGERICHT RT190150 du 17 décembre 2019</w:t>
      </w:r>
    </w:p>
    <w:p>
      <w:r>
        <w:t>IT: ZH_OBERGERICHT RT190150 del 17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6. September 2019 erteilte die Vorinstanz der Gesuch- stellerin und Beschwerdegegnerin (fortan Gesuchstellerin) in der Betreibung Nr. … des Betreibungsamtes Zürich 4, Zahlungsbefehl vom 29. April 2019, defini- tive Rechtsöffnung für Fr. 250.– nebst Zins zu 5 % seit 30. November 2018 (Urk.</w:t>
      </w:r>
    </w:p>
    <w:p>
      <w:r>
        <w:rPr>
          <w:b/>
        </w:rPr>
        <w:t>E. 6</w:t>
      </w:r>
    </w:p>
    <w:p>
      <w:r>
        <w:t>Zusammengefasst erweist sich die vorliegende Beschwerde als offen- sichtlich unzulässig, weshalb darauf nicht einzutreten ist.</w:t>
      </w:r>
    </w:p>
    <w:p>
      <w:r>
        <w:rPr>
          <w:b/>
        </w:rPr>
        <w:t>E. 7</w:t>
      </w:r>
    </w:p>
    <w:p>
      <w:r>
        <w:t>Ausgangsgemäss wird der Gesuchsgegner für das Beschwerdeverfah- ren kostenpflichtig (Art. 106 Abs. 1 ZPO). Angesichts des Streitwerts im oberge- richtlichen Verfahren von Fr. 250.– ist die Gerichtsgebühr im Beschwerdeverfah- ren auf Fr. 150.– anzusetzen (Art. 48 in Verbindung mit Art. 61 Abs. 1 GebV SchKG). Für das Beschwerdeverfahren sind sodann keine Parteientschädigungen zuzusprechen, dem Gesuchsgegner infolge seines Unterliegens, der Gesuchstel- lerin mangels erheblicher Umtriebe.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