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RT190149 vom 7. November 2019</w:t>
      </w:r>
    </w:p>
    <w:p>
      <w:r>
        <w:t>ZH Obergericht, 2019-11-07, DE</w:t>
      </w:r>
    </w:p>
    <w:p>
      <w:r>
        <w:rPr>
          <w:b/>
        </w:rPr>
        <w:t xml:space="preserve">Quelle: </w:t>
      </w:r>
      <w:r>
        <w:t>https://mcp.opencaselaw.ch/entscheid/zh_obergericht_RT190149</w:t>
      </w:r>
    </w:p>
    <w:p>
      <w:r>
        <w:t>FR: ZH_OBERGERICHT RT190149 du 7 novembre 2019</w:t>
      </w:r>
    </w:p>
    <w:p>
      <w:r>
        <w:t>IT: ZH_OBERGERICHT RT190149 del 7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10. Februar 2017 stellte der Gesuchsteller beim Bezirksge- richt Hinwil (Vorinstanz) in der Betreibung Nr. … des Betreibungsamts Rüti (Zah- lungsbefehl vom 9. Januar 2017) das Gesuch um definitive Rechtsöffnung für ins- gesamt Fr. 65 Mio. nebst Zins und Kosten (Vi-Urk. 1, 2/12 und 14), behaupteter- weise gestützt auf eine entsprechende Sicherstellungsverfügung des Kantonalen Steueramts Zürich vom 27. Januar 2016 betreffend Direkte Bundessteuer zur De- ckung der mutmasslichen Nachsteuern und Bussen der Steuerjahre 2005 bis 2009 und ordentliche Steuern der Jahre 2010 bis 2015 (Vi-Urk. 1 S. 3). Mit Verfü- gung vom 23. Mai 2017 sistierte die Vorinstanz das Verfahren bis zum rechtskräf- tigen Entscheid über das vom Gesuchsgegner gestellte Wiedererwägungsgesuch betreffend die Sicherstellungsverfügung vom 27. Januar 2016 (Vi-Urk. 29); mit Verfügung vom 15. November 2018 wurde das Verfahren – nach entsprechen- dem Entscheid des Bundesgerichts vom 30. Oktober 2018 (Vi-Urk. 32) – wieder aufgenommen (Vi-Urk. 33). Infolge Vergleichsgesprächen (Vi-Urk. 40 und 42) sis- tierte die Vorinstanz das Verfahren sodann mit Verfügung vom 17. Januar 2019 bis 30. April 2019 (Vi-Urk. 43) und verlängerte die Sistierung mit Verfügung vom</w:t>
      </w:r>
    </w:p>
    <w:p>
      <w:r>
        <w:rPr>
          <w:b/>
        </w:rPr>
        <w:t>E. 2</w:t>
      </w:r>
    </w:p>
    <w:p>
      <w:r>
        <w:t>Mai 2019 bis 31. Juli 2019 (Vi-Urk. 49). Am 24. Juni 2019 stellte der Gesuch- steller, nunmehr anwaltlich vertreten, das Gesuch um Aufhebung der Sistierung (Vi-Urk. 51). Der Gesuchsgegner stellte daraufhin mit Eingabe vom 8. Juli 2019 den Antrag auf Abweisung dieses Gesuchs und Sistierung mindestens bis zum Entscheid darüber (Vi-Urk. 55 S. 2). Nach weiteren Schriftenwechseln (Vi-Urk. 58, 60, 63 und 64) entschied die Vorinstanz mit Verfügung vom 5. September 2019 (Vi-Urk. 66 = Urk.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