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RT190136 vom 23. Oktober 2019</w:t>
      </w:r>
    </w:p>
    <w:p>
      <w:r>
        <w:t>ZH Obergericht, 2019-10-23, DE</w:t>
      </w:r>
    </w:p>
    <w:p>
      <w:r>
        <w:rPr>
          <w:b/>
        </w:rPr>
        <w:t xml:space="preserve">Quelle: </w:t>
      </w:r>
      <w:r>
        <w:t>https://mcp.opencaselaw.ch/entscheid/zh_obergericht_RT190136</w:t>
      </w:r>
    </w:p>
    <w:p>
      <w:r>
        <w:t>FR: ZH_OBERGERICHT RT190136 du 23 octobre 2019</w:t>
      </w:r>
    </w:p>
    <w:p>
      <w:r>
        <w:t>IT: ZH_OBERGERICHT RT190136 del 23 ottobre 2019</w:t>
      </w:r>
    </w:p>
    <w:p>
      <w:pPr>
        <w:pStyle w:val="Heading2"/>
      </w:pPr>
      <w:r>
        <w:t>Erwägungen</w:t>
      </w:r>
    </w:p>
    <w:p>
      <w:r>
        <w:rPr>
          <w:b/>
        </w:rPr>
        <w:t>E. 2</w:t>
      </w:r>
    </w:p>
    <w:p>
      <w:r>
        <w:t>Mit der Beschwerde können unrichtige Rechtsanwendung und offensicht- lich unrichtige Feststellung des Sachverhalts geltend gemacht werden (Art. 320 ZPO). Dabei gilt das Rügeprinzip (ZK ZPO - Freiburghaus/Afheldt, Art. 321 N 15), d.h. die Beschwerde führende Partei hat im Einzelnen darzulegen, an welchen Mängeln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 Noven) sind im Beschwerdeverfahren ausgeschlos- sen (Art. 326 Abs. 1 ZPO). 3.1. Die Vorinstanz erwog im Wesentlichen, dass sich der definitiv geschuldete Steuerbetrag erst aus der Schlussrechnung ergebe und der Einschätzungsent- scheid alleine noch keinen Rechtsöffnungstitel darstelle. Allein gestützt auf die Schlussrechnung könne sodann ebenfalls keine Rechtsöffnung erteilt werden, weil sich die Berechnung des geschuldeten Steuerbetrages direkt auf die im Ein- schätzungsentscheid festgelegten Steuerfaktoren beziehe und deren Festsetzung in Rechtskraft erwachsen sein müsse. Daher würden nur der Einschätzungsent- scheid und die Schlussrechnung zusammen einen gültigen Rechtsöffnungstitel</w:t>
      </w:r>
    </w:p>
    <w:p>
      <w:r>
        <w:t>- 3 - bilden. Beides seien Verfügungen schweizerischer Verwaltungsbehörden im Sin- ne von Art. 80 Abs. 2 SchKG. Da gegen beide ein Rechtsmittel möglich sei, sei auch für beide eine Rechtskraft- bzw. Vollstreckbarkeitsbescheinigung beizubrin- gen (Urk. 11 S. 3). Die Gesuchsteller hätten für die Staats- und Gemeindesteuern 2017 den Einschätzungsentscheid vom 20. Juli 2018, die Schlussrechnung vom</w:t>
      </w:r>
    </w:p>
    <w:p>
      <w:r>
        <w:rPr>
          <w:b/>
        </w:rPr>
        <w:t>E. 7</w:t>
      </w:r>
    </w:p>
    <w:p>
      <w:r>
        <w:t>August 2018 sowie die Rechtskraftbescheinigung vom 17. Juli 2019 betreffend den Einschätzungsentscheid eingereicht. Sie hätten es jedoch unterlassen eine Rechtskraftbescheinigung betreffend die Schlussrechnung vom 7. August 2018 einzureichen. Deshalb sei das Rechtsöffnungsbegehren abzuweisen (Urk. 11 S. 3 f.). 3.2. Die Gesuchsteller machen in ihrer Beschwerde vom 11. September 2019 geltend, sie würden die fehlende Rechtskraftbescheinigung betreffend die Schlussrechnung vom 7. August 2018 zur Vervollständigung der Akten nach- reichen und um wohlwollende Prüfung des Antrages bitten (Urk. 10). 4. Bei den Vorbringen der Gesuchsteller bzw. der Beibringung der Rechts- kraftbescheinigung vom 10. September 2019 betreffend die Schlussrechnung vom 7. August 2018 (Urk. 13/1) im Beschwerdeverfahren handelt es sich um No- ven. Die Gesuchsteller genügten ihrer Behauptungs- und Beweislast im vor- instanzlichen Verfahren nicht, indem sie die zur Prüfung des genügenden definiti- ven Rechtsöffnungstitels erforderlichen Unterlagen nicht rechtzeitig beibrachten. Ihre Vorbringen im Beschwerdeverfahren erfolgen verspätet und können aufgrund des Novenausschlusses (vgl. vorstehend Erwägung 2) nicht mehr berücksichtigt werden. Die Beschwerde der Gesuchsteller ist daher abzuweisen. 5. Für das Beschwerdeverfahren beträgt der Streitwert Fr. 1'982.80. Die zweitinstanzliche Entscheidgebühr ist in Anwendung von Art. 48 i.V.m. Art. 61 Abs. 1 GebV SchKG auf Fr. 300.– festzusetzen und ausgangsgemäss zu 1/2 der unterliegenden Gesuchstellerin 2 aufzuerlegen (Art. 106 Abs. 2 ZPO). Der Kos- tenanteil des unterliegenden Gesuchstellers 1 im Umfang von 1/2 ist auf die Staatskasse zu nehmen (§ 200 GOG). Es sind keine Parteientschädigungen zu- zusprechen, den Gesuchstellern zufolge ihres Unterliegens, dem Gesuchsgegner mangels relevanter Umtriebe (Art. 95 Abs. 3,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