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RT190129 vom 17. September 2019</w:t>
      </w:r>
    </w:p>
    <w:p>
      <w:r>
        <w:t>ZH Obergericht, 2019-09-17, DE</w:t>
      </w:r>
    </w:p>
    <w:p>
      <w:r>
        <w:rPr>
          <w:b/>
        </w:rPr>
        <w:t xml:space="preserve">Quelle: </w:t>
      </w:r>
      <w:r>
        <w:t>https://mcp.opencaselaw.ch/entscheid/zh_obergericht_RT190129</w:t>
      </w:r>
    </w:p>
    <w:p>
      <w:r>
        <w:t>FR: ZH_OBERGERICHT RT190129 du 17 septembre 2019</w:t>
      </w:r>
    </w:p>
    <w:p>
      <w:r>
        <w:t>IT: ZH_OBERGERICHT RT190129 del 17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16. Juli 2019 erteilte das Bezirksgericht Zürich (Vorinstanz) den Gesuchstellern in der Betreibung Nr. … des Betreibungsamts Zürich 9 (Zahlungsbefehl vom 29. April 2019) – für ausstehende Staats- und Ge- meindesteuern 2016 – definitive Rechtsöffnung für Fr. 10'146.20 nebst 4.5% Zins seit 27. April 2019, Fr. 116.15 und Fr. 91.30; die Kostenfolgen wurden zu Lasten des Gesuchsgegners geregelt (Urk. 10 = Urk. 13). b) Hiergegen erhob der Gesuchsgegner am 23. August 2019 fristgerecht (Urk. 11b) Beschwerde und stellte sinngemäss den Beschwerdeantrag (Urk. 12): Das angefochtene Urteil sei aufzuheben und das Rechtsöffnungsgesuch sei abzuweisen. c) Die vorinstanzlichen Akten wurden beigezogen. Da sich die Beschwer- de sogleich als unbegründet erweist, kann auf weitere Prozesshandlungen ver- zichtet werden (vgl. Art. 322 Abs. 1 ZPO).</w:t>
      </w:r>
    </w:p>
    <w:p>
      <w:r>
        <w:rPr>
          <w:b/>
        </w:rPr>
        <w:t>E. 2</w:t>
      </w:r>
    </w:p>
    <w:p>
      <w:r>
        <w:t>a) Die Vorinstanz erwog im Wesentlichen, die Gesuchsteller würden sich auf die vollstreckbare Einschätzungsmitteilung des Steueramtes der Stadt Zürich für Staats- und Gemeindesteuern 2016, welche im Sinne von § 126 Abs. 4 StG gleichzeitig mit der Schlussrechnung vom 14. Januar 2019 ergangen sei, stützen; darin werde der Gesuchsgegner zur Zahlung einer Nettosteuerschuld von Fr. 10'146.20 sowie Fr. 116.15 Zins verpflichtet. Damit liege ein definitiver Rechts- öffnungstitel vor. Die dagegen gerichteten Vorbringen des Gesuchsgegners wür- den sich, soweit verständlich, als rechtlich irrelevant erweisen; daraus lasse sich weder die Tilgung, Stundung oder Verjährung herleiten noch erbringe der Ge- suchsgegner einen entsprechenden urkundlichen Beweis (Urk. 13 S. 2 f.). b) Mit der Beschwerde können unrichtige Rechtsanwendung und offen- sichtlich unrichtige Feststellung des Sachverhalts geltend gemacht werden (Art. 320 ZPO). Dabei bedeutet Geltendmachung, dass in der Beschwerde konk- ret dargelegt werden muss, was genau am angefochtenen Entscheid unrichtig sein soll; was nicht in dieser Weise beanstandet wird, braucht von der Beschwer- deinstanz nicht überprüft zu werden und hat insofern grundsätzlich Bestand.</w:t>
      </w:r>
    </w:p>
    <w:p>
      <w:r>
        <w:t>- 3 - c) Die Beschwerdeschrift enthält keine solchen Beanstandungen von konkreten vorinstanzlichen Erwägungen. Die Vorbringen der Beschwerdeschrift sind teilweise kaum rational nachvollziehbar (Beispiel: das Urteil berufe sich zwar auf das öffentliche Recht, dieses sei aber "nur ein Ausdruck eines dahinter lie- genden kommerziellen maritimen Rechtes", welches wiederum nur ein Ausdruck natürlichen Rechts sein könne; Urk. 12 S. 2). Der Gesuchsgegner macht in der Beschwerde sodann Ausführungen zu alternativen, d.h. nicht in Geld erfolgenden Forderungsausgleichungen und behauptet einen Annahmeverzug durch Nichtre- aktion auf angebliche Schreiben von ihm (der Gesuchsgegner scheint die Steuer- rechnung an das Eidgenössische Finanzdepartement zur Begleichung gesandt zu haben und dieses habe die Begleichung dadurch akzeptiert, dass es nicht wider- sprochen habe; vgl. Urk. 14C) und ähnlichem. Die Vorbringen in der Beschwerde- schrift sind jedenfalls nicht geeignet, die vorinstanzlichen Erwägungen zu erschüt- tern, womit es bei diesen bleibt. d) Nach dem Gesagten erweist sich die Beschwerde als unbegründet. Sie ist demgemäss abzuweisen.</w:t>
      </w:r>
    </w:p>
    <w:p>
      <w:r>
        <w:rPr>
          <w:b/>
        </w:rPr>
        <w:t>E. 3</w:t>
      </w:r>
    </w:p>
    <w:p>
      <w:r>
        <w:t>a) Der Streitwert für das Beschwerdeverfahren beträgt Fr. 10'262.35. Die zweitinstanzliche Entscheidgebühr ist in Anwendung von Art. 48 i.V.m. Art. 61 Abs. 1 GebV SchKG auf Fr. 400.-- festzusetzen. b) Die Gerichtskosten des Beschwerdeverfahrens sind ausgangsgemäss dem Gesuchsgegner aufzuerlegen (Art. 106 Abs. 1 ZPO). c) Für das Beschwerdeverfahren sind keine Parteientschädigungen zuzu- sprechen, dem Gesuchsgegner zufolge seines Unterliegens, den Gesuchstellern mangels relevanter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