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RT190119 vom 24. Oktober 2019</w:t>
      </w:r>
    </w:p>
    <w:p>
      <w:r>
        <w:t>ZH Obergericht, 2019-10-24, DE</w:t>
      </w:r>
    </w:p>
    <w:p>
      <w:r>
        <w:rPr>
          <w:b/>
        </w:rPr>
        <w:t xml:space="preserve">Quelle: </w:t>
      </w:r>
      <w:r>
        <w:t>https://mcp.opencaselaw.ch/entscheid/zh_obergericht_RT190119</w:t>
      </w:r>
    </w:p>
    <w:p>
      <w:r>
        <w:t>FR: ZH_OBERGERICHT RT190119 du 24 octobre 2019</w:t>
      </w:r>
    </w:p>
    <w:p>
      <w:r>
        <w:t>IT: ZH_OBERGERICHT RT190119 del 24 ottobre 2019</w:t>
      </w:r>
    </w:p>
    <w:p>
      <w:pPr>
        <w:pStyle w:val="Heading2"/>
      </w:pPr>
      <w:r>
        <w:t>Erwägungen</w:t>
      </w:r>
    </w:p>
    <w:p>
      <w:r>
        <w:rPr>
          <w:b/>
        </w:rPr>
        <w:t>E. 1</w:t>
      </w:r>
    </w:p>
    <w:p>
      <w:r>
        <w:t>Mit Urteil vom 14. Mai 2019 erteilte die Vorinstanz der Gesuchstellerin und Beschwerdegegnerin (fortan Gesuchstellerin) provisorische Rechtsöffnung in der Betreibung Nr. … des Betreibungsamtes Wetzikon, Zahlungsbefehl vom 18. März 2019, für Fr. 840.– nebst Zins zu 5 % seit 23. November 2018, für die Betreibungskosten sowie für Kosten und Entschädigung gemäss Ziffern 2 bis 4 des Urteils (Urk. 21 S. 6, Dispositiv-Ziffer 1).</w:t>
      </w:r>
    </w:p>
    <w:p>
      <w:r>
        <w:rPr>
          <w:b/>
        </w:rPr>
        <w:t>E. 2</w:t>
      </w:r>
    </w:p>
    <w:p>
      <w:r>
        <w:t>Gegen dieses Urteil erhob die Gesuchsgegnerin und Beschwerdefüh- rerin (fortan Gesuchsgegnerin) innert Frist (Urk. 16) mit Eingabe vom 14. August 2019, hierorts eingegangen am 16. August 2019, Beschwerde mit dem Begehren, es sei das vorinstanzliche Urteil aufzuheben und es sei der Sachverhalt durch die Kammer neu zu beurteilen (Urk. 19). Sinngemäss beantragt die Gesuchsgegnerin die Abweisung des Rechtsöffnungsgesuchs (Urk. 19).</w:t>
      </w:r>
    </w:p>
    <w:p>
      <w:r>
        <w:rPr>
          <w:b/>
        </w:rPr>
        <w:t>E. 3</w:t>
      </w:r>
    </w:p>
    <w:p>
      <w:r>
        <w:t>Mit Verfügung vom 3. September 2019 wurde der Gesuchsgegnerin Frist angesetzt, um für die Gerichtskosten des Beschwerdeverfahrens einen Kos- tenvorschuss von Fr. 225.– zu leisten, unter der Androhung, dass bei Säumnis auch innerhalb einer noch anzusetzenden Nachfrist auf die Beschwerde nicht eingetreten werde (Urk. 24 S. 2, Dispositiv-Ziffer 1). Mit Verfügung vom 20. Sep- tember 2019 wurde der Gesuchsgegnerin eine Nachfrist zur Leistung des Ge- richtskostenvorschusses angesetzt, unter der Androhung, dass bei Säumnis auf die Beschwerde nicht eingetreten werde (Urk. 25 S. 2, Dispositiv-Ziffer 1).</w:t>
      </w:r>
    </w:p>
    <w:p>
      <w:r>
        <w:rPr>
          <w:b/>
        </w:rPr>
        <w:t>E. 4</w:t>
      </w:r>
    </w:p>
    <w:p>
      <w:r>
        <w:t>Innert Nachfrist (und bis heute) hat die Gesuchsgegnerin den Kosten- vorschuss nicht geleistet. Androhungsgemäss ist daher auf die Beschwerde nicht einzutreten (Art. 101 Abs. 3 ZPO).</w:t>
      </w:r>
    </w:p>
    <w:p>
      <w:r>
        <w:rPr>
          <w:b/>
        </w:rPr>
        <w:t>E. 5</w:t>
      </w:r>
    </w:p>
    <w:p>
      <w:r>
        <w:t>Ausgangsgemäss wird im Beschwerdeverfahren die Gesuchsgegnerin kostenpflichtig (Art. 106 Abs. 1 ZPO). Für das Beschwerdeverfahren beträgt der Streitwert Fr. 840.–. Die zweitinstanzliche Entscheidgebühr ist in Anwendung von Art. 48 GebV SchKG in Verbindung mit Art. 61 Abs. 1 GebV SchKG auf Fr. 150.– festzusetzen. Für das Beschwerdeverfahren sind keine Parteientschädigungen</w:t>
      </w:r>
    </w:p>
    <w:p>
      <w:r>
        <w:t>- 3 - zuzusprechen, der Gesuchsgegnerin zufolge ihres Unterliegens, der Gesuchstel- lerin mangels erheblicher Umtriebe (Art. 106 Abs. 1 ZPO,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