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RT190098 vom 15. August 2019</w:t>
      </w:r>
    </w:p>
    <w:p>
      <w:r>
        <w:t>ZH Obergericht, 2019-08-15, DE</w:t>
      </w:r>
    </w:p>
    <w:p>
      <w:r>
        <w:rPr>
          <w:b/>
        </w:rPr>
        <w:t xml:space="preserve">Quelle: </w:t>
      </w:r>
      <w:r>
        <w:t>https://mcp.opencaselaw.ch/entscheid/zh_obergericht_RT190098</w:t>
      </w:r>
    </w:p>
    <w:p>
      <w:r>
        <w:t>FR: ZH_OBERGERICHT RT190098 du 15 août 2019</w:t>
      </w:r>
    </w:p>
    <w:p>
      <w:r>
        <w:t>IT: ZH_OBERGERICHT RT190098 del 15 agosto 2019</w:t>
      </w:r>
    </w:p>
    <w:p>
      <w:pPr>
        <w:pStyle w:val="Heading2"/>
      </w:pPr>
      <w:r>
        <w:t>Erwägungen</w:t>
      </w:r>
    </w:p>
    <w:p>
      <w:r>
        <w:rPr>
          <w:b/>
        </w:rPr>
        <w:t>E. 2</w:t>
      </w:r>
    </w:p>
    <w:p>
      <w:r>
        <w:t>Mit der Beschwerde können unrichtige Rechtsanwendung und offensicht- lich unrichtige Feststellung des Sachverhalts geltend gemacht werden (Art. 320 ZPO). Dabei gilt das Rügeprinzip (ZK ZPO - Freiburghaus/Afheldt, Art. 321 N 15), d.h. die Beschwerde führende Partei hat im Einzelnen darzulegen, an welchen Mängeln (unrichtige Rechtsanwendung, offensichtlich unrichtige Feststellung des Sachverhalts) der angefochtene Entscheid ihrer Ansicht nach leidet. Die Be- schwerde ist ein ausserordentliches Rechtsmittel und stellt keine Fortsetzung des erstinstanzlichen Verfahrens dar. Neue Anträge, neue Tatsachenbehauptungen und neue Beweismittel (sogenannte Noven) sind im Beschwerdeverfahren ausge- schlossen (Art. 326 Abs. 1 ZPO). 3.1. Die Vorinstanz erwog, die Gesuchsteller stützten ihr Gesuch auf den voll- streckbaren Einschätzungsentscheid des Kantonalen Steueramtes Zürich für die Staats- und Gemeindesteuern 2016 vom 26. September 2018 sowie auf die da- zugehörige Schlussrechnung vom 5. November 2018, mit welcher der Gesuchs- gegner zur Zahlung der Nettosteuerschuld von Fr. 4'531.10 nebst Zins in der Hö- he von Fr. 47.55 verpflichtet worden sei. Die Schlussrechnung stelle in Verbin- dung mit dem Einschätzungsentscheid einen definitiven Rechtsöffnungstitel im Sinne von Art. 80 Abs. 2 Ziff. 2 SchKG dar. Betragsmässig seien die Forderungen nebst Zins durch die eingereichten Unterlagen ausgewiesen. Gründe, die der Er- teilung der Rechtsöffnung entgegenstünden, gingen aus den Akten nicht hervor, weshalb antragsgemäss die definitive Rechtsöffnung zu erteilen sei (Urk. 12 S. 2). 3.2. Der Gesuchsgegner macht mit der Beschwerde sinngemäss und zusam- mengefasst geltend, er sei seit Herbst 2016 wegen kardiologischer Insuffizienzen "ausser Betrieb und in Dauerreparatur" gewesen. Sein Parallelleben in Krebsklini- ken und Kardiologien von Spitälern habe es ihm nicht erlaubt, seinen überfrachte- ten und "überverdichteten" Verpflichtungen lückenlos nachzukommen, so dass einige Pflichten, wie etwa einige Steuerbescheide, ungewollt vernachlässigt wor- den seien, was einen Stau von Verfügungen und Rechtsöffnungen zur Folge ge- habt habe, welchen er nun entwirren müsse. Zu seiner Entlastung weise er darauf hin, dass er über alle Verfahrensstufen hinweg nichts habe wahrnehmen, nichts habe beurteilen und nichts Förderliches habe unternehmen können, da er weder</w:t>
      </w:r>
    </w:p>
    <w:p>
      <w:r>
        <w:t>- 4 - arbeits- noch handlungsfähig oder verhandlungsfähig gewesen sei. Daher habe er seinen Pflichten nicht nachkommen können, weshalb er nun um Wiedereinset- zung ins Recht ersuche (Urk. 11 S. 2). 3.3. Im vorinstanzlichen Verfahren wurde dem Gesuchsgegner mit Verfügung vom 17. April 2019 Frist zur Stellungnahme zum Rechtsöffnungsbegehren ange- setzt (Urk. 4). Am letzten Tag der Frist, am 10. Mai 2019, ersuchte der Gesuchs- gegner, der persönlich beim Bezirksgericht vorstellig geworden war, um Erstre- ckung der Frist aus gesundheitlichen Gründen. Sein Gesuch wurde bewilligt und ihm die Frist zur Stellungnahme bis am 20. Mai 2019 erstreckt (Urk. 7). Trotzdem liess sich der Gesuchsgegner in der Folge innert Frist vor Vorinstanz nicht ver- nehmen. Damit aber sind die Anträge und Vorbringen des Gesuchsgegners im Beschwerdeverfahren neu und aufgrund des absoluten Novenausschlusses (vgl. vorstehend E. 2) verspätet. Dies gilt auch mit Bezug auf sämtliche erstmals im Beschwerdeverfahren ins Recht gereichten Belege (Urk. 13/1-15). Soweit der Ge- suchsgegner im Wesentlichen mit seiner Beschwerde um Wiedereinsetzung ins Recht ersucht, stellt er sinngemäss ein Fristwiederherstellungsgesuch. Ein sol- ches wäre aber nicht bei der angerufenen Kammer, sondern beim Gericht zu stel- len gewesen, bei welchem die Frist verpasst worden ist (Art. 148 ZPO; BSK ZPO - Gozzi, Art. 149 N 3). Damit ist auf seine diesbezüglichen Vorbringen mangels Zuständigkeit nicht einzutreten. Im Übrigen ist die Beschwerde abzuweisen.</w:t>
      </w:r>
    </w:p>
    <w:p>
      <w:r>
        <w:rPr>
          <w:b/>
        </w:rPr>
        <w:t>E. 4</w:t>
      </w:r>
    </w:p>
    <w:p>
      <w:r>
        <w:t>Für das Beschwerdeverfahren beträgt der Streitwert Fr. 4'531.10. Die zweitinstanzliche Entscheidgebühr ist in Anwendung von Art. 48 i.V.m. Art. 61 Abs. 1 GebV SchKG auf Fr. 300.– festzusetzen. Die Gerichtskosten des Be- schwerdeverfahrens sind ausgangsgemäss dem Gesuchsgegner aufzuerlegen (Art. 106 Abs. 1 ZPO). Es sind keine Parteientschädigungen zuzusprechen, dem Gesuchsgegner zufolge seines Unterliegens, den Gesuchstellern mangels rele- 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