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RT190089 vom 12. Juli 2019</w:t>
      </w:r>
    </w:p>
    <w:p>
      <w:r>
        <w:t>ZH Obergericht, 2019-07-12, DE</w:t>
      </w:r>
    </w:p>
    <w:p>
      <w:r>
        <w:rPr>
          <w:b/>
        </w:rPr>
        <w:t xml:space="preserve">Quelle: </w:t>
      </w:r>
      <w:r>
        <w:t>https://mcp.opencaselaw.ch/entscheid/zh_obergericht_RT190089</w:t>
      </w:r>
    </w:p>
    <w:p>
      <w:r>
        <w:t>FR: ZH_OBERGERICHT RT190089 du 12 juillet 2019</w:t>
      </w:r>
    </w:p>
    <w:p>
      <w:r>
        <w:t>IT: ZH_OBERGERICHT RT190089 del 12 luglio 2019</w:t>
      </w:r>
    </w:p>
    <w:p>
      <w:pPr>
        <w:pStyle w:val="Heading2"/>
      </w:pPr>
      <w:r>
        <w:t>Erwägungen</w:t>
      </w:r>
    </w:p>
    <w:p>
      <w:r>
        <w:rPr>
          <w:b/>
        </w:rPr>
        <w:t>E. 1</w:t>
      </w:r>
    </w:p>
    <w:p>
      <w:r>
        <w:t>a) Mit Urteil vom 17. Juni 2019 erteilte das Bezirksgericht Meilen (Vorinstanz) dem Gesuchsteller in der Betreibung Nr. … des Betreibungsamts Küsnacht-Zollikon-Zumikon (Zahlungsbefehl vom 29. März 2019) – gestützt auf eine Schuldanerkennung vom 4. Januar 2019 – provisorische Rechtsöffnung für Fr. 14'034.05 und die Betreibungskosten sowie für Kosten und Entschädigung gemäss diesem Entscheid (Urk. 22 = Urk. 25). b) Hiergegen erhob die Gesuchsgegnerin am 28. Juni 2019 fristgerecht Beschwerde und stellte die Beschwerdeanträge (Urk. 24 S. 2): "1. In Aufhebung des angefochtenen Urteils sei das Rechtsöffnungsbe- gehren des Beschwerdegegners in der Betreibung Nr. … des Betreibungsamts Küsnacht-Zollikon-Zumikon, Zahlungsbefehl vom 29.03.2019 vollumfänglich abzuweisen;</w:t>
      </w:r>
    </w:p>
    <w:p>
      <w:r>
        <w:rPr>
          <w:b/>
        </w:rPr>
        <w:t>E. 2</w:t>
      </w:r>
    </w:p>
    <w:p>
      <w:r>
        <w:t>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b) Die Vorinstanz erwog zusammengefasst, der Gesuchsteller stütze sich auf eine von der damaligen Vertreterin der Gesuchsgegnerin unterzeichnete Schuldanerkennung vom 4. Januar 2019, aus welcher ersichtlich sei, dass die Gesuchsgegnerin demnächst Fr. 22'610.-- überweisen werde. Diese bilde grund- sätzlich einen provisorischen Rechtsöffnungstitel. Fr. 8'575.95 seien von der Ge-</w:t>
      </w:r>
    </w:p>
    <w:p>
      <w:r>
        <w:t>- 3 - suchsgegnerin bereits bezahlt worden, sodass eine Forderung von Fr. 14'034.05 verbleibe (Urk. 25 Erw. 2). Die Gesuchsgegnerin wende ein, dass die damalige Vertreterin keine Schuld anerkannt und sich nicht zu einer Zahlung verpflichtet habe; sie habe bloss eine Absicht geäussert. Jedoch sei dem nicht zu folgen, denn es sei die zeitnahe Überweisung von Fr. 22'610.-- versprochen worden und aus der Schuldanerkennung würden sowohl die Höhe der Forderung, der Schuld- ner sowie der Gläubiger eindeutig hervorgehen, womit diese einen provisorischen Rechtsöffnungstitel bilde (Urk. 25 Erw. 3.1). Die Gesuchsgegnerin wende weiter ein, dass am 28. März 2019 per E-Mail eine Vereinbarung zustande gekommen sei, welche die Schuldanerkennung aufgehoben habe; die Schriftform habe bloss Beweissicherungszwecken gedient. Jedoch spreche die eingereichte Korrespon- denz dafür, dass sich die Parteien ohne Unterschrift der neu aufgesetzten Verein- barung nicht hätten binden wollen; auch die mehrfache Versendung von Verein- barungsentwürfen per E-Mail deute darauf hin, dass die Parteien vor einer Unter- zeichnung nicht hätten gebunden sein wollen. Und auch das Vorbringen der Ge- suchsgegnerin, wonach die Schriftform bloss Beweissicherungszwecken habe dienen sollen, überzeuge nicht, da die per E-Mail geführten Verhandlungen be- reits in beweistauglicher Form vorliegen würden. Die Gesuchsgegnerin habe da- mit keine die Schuldanerkennung entkräftende Einwendungen glaubhaft machen können (Urk. 25 Er. 3.1 bis 3.4). c) Die Gesuchsgegnerin bestreitet in der Beschwerde, dass das Schrei- ben ihrer damaligen Rechtsvertretung vom 4. Januar 2019 einen provisorischen Rechtsöffnungstitel darstelle. Sie macht dazu im Wesentlichen geltend, entgegen der Vorinstanz habe ihre damalige Vertretung keine Zahlung versprochen, son- dern bloss eine Absicht geäussert; die Leistungspflicht werde gar nicht themati- siert (Urk. 24 S. 7). Diese Beschwerdevorbringen sind unbegründet. Die Parteien schlossen am 16. Mai 2017 eine Vereinbarung betreffend Auflösung des zwischen ihnen beste- henden Arbeitsverhältnisses per 31. August 2017 ab (Urk. 4/3). Darin verpflichtete sich der Gesuchsteller (u.a.), der Gesuchsgegnerin weiterhin Fr. 2'480.-- pro Mo- nat zu bezahlen (Urk. 4/3 Ziff. 2), dies bis zur Zusprechung einer IV-Rente für die</w:t>
      </w:r>
    </w:p>
    <w:p>
      <w:r>
        <w:t>- 4 - Gesuchsgegnerin (Urk. 4/3 Ziff. 5). Der Gesuchsgegnerin wurde mit Vorbescheid vom 17. September 2018 eine volle IV-Rente ab 1. November 2017 in Aussicht gestellt (Urk. 4/4). Mit Schreiben vom 2. November 2018 forderte der Gesuchstel- ler von der Gesuchsgegnerin unrechtsmässig bezogenen Lohn von Fr. 24'800.-- zurück (Urk. 4/5). Mit Schreiben vom 8. November 2018 teilte die damalige Rechtsvertretung der Gesuchsgegnerin mit, sie schulde nur den Differenzbetrag zwischen den Zahlungen des Gesuchstellers und den Zahlungen der IV; es liege jedoch erst ein IV-Vorbescheid vor, bei Erhalt des IV-Entscheides werde der Ge- suchsteller sofort informiert (Urk. 4/7). Mit Verfügung vom 3. Dezember 2018 wur- de der Gesuchstellerin eine volle IV-Rente (inkl. IV-Kinderrente) von Fr. 2'261.-- pro Monat ab 1. November 2017 zugesprochen (Urk. 4/9). Mit Schreiben vom</w:t>
      </w:r>
    </w:p>
    <w:p>
      <w:r>
        <w:rPr>
          <w:b/>
        </w:rPr>
        <w:t>E. 4</w:t>
      </w:r>
    </w:p>
    <w:p>
      <w:r>
        <w:t>Januar 2019 hätte aufheben (oder abändern) können. e) Nach dem Gesagten erweist sich die Beschwerde als unbegründet; sie ist demgemäss abzuweisen. 3. a) Der Streitwert für das Beschwerdeverfahren beträgt Fr. 14'034.05. Die zweitinstanzliche Entscheidgebühr ist in Anwendung von Art. 48 i.V.m. Art. 61 Abs. 1 GebV SchKG auf Fr. 500.-- festzusetzen. b) Die Gerichtskosten des Beschwerdeverfahrens sind ausgangsgemäss der Gesuchsgegnerin aufzuerlegen (Art. 106 Abs. 1 ZPO). c) Für das Beschwerdeverfahren sind keine Parteientschädigungen zuzu- sprechen, der Gesuchsgegnerin zufolge ihres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