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RT190068 vom 3. September 2019</w:t>
      </w:r>
    </w:p>
    <w:p>
      <w:r>
        <w:t>ZH Obergericht, 2019-09-03, DE</w:t>
      </w:r>
    </w:p>
    <w:p>
      <w:r>
        <w:rPr>
          <w:b/>
        </w:rPr>
        <w:t xml:space="preserve">Quelle: </w:t>
      </w:r>
      <w:r>
        <w:t>https://mcp.opencaselaw.ch/entscheid/zh_obergericht_RT190068</w:t>
      </w:r>
    </w:p>
    <w:p>
      <w:r>
        <w:t>FR: ZH_OBERGERICHT RT190068 du 3 septembre 2019</w:t>
      </w:r>
    </w:p>
    <w:p>
      <w:r>
        <w:t>IT: ZH_OBERGERICHT RT190068 del 3 settembre 2019</w:t>
      </w:r>
    </w:p>
    <w:p>
      <w:pPr>
        <w:pStyle w:val="Heading2"/>
      </w:pPr>
      <w:r>
        <w:t>Erwägungen</w:t>
      </w:r>
    </w:p>
    <w:p>
      <w:r>
        <w:rPr>
          <w:b/>
        </w:rPr>
        <w:t>E. 1</w:t>
      </w:r>
    </w:p>
    <w:p>
      <w:r>
        <w:t>a) Mit Urteil vom 18. April 2019 erteilte die Vorinstanz der Gesuchstellerin und Beschwerdegegnerin (fortan Gesuchstellerin) in der Betreibung Nr. ... des Betrei- bungsamtes Dielsdorf-Nord (Zahlungsbefehl vom 15. Januar 2019) gestützt auf das Scheidungsurteil vom 10. Oktober 2007 für bevorschusste ausstehende (Kin- der-)Unterhaltsbeiträge betreffend die Zeit August 2018 bis Januar 2019 definitive Rechtsöffnung im Betrag von insgesamt Fr. 5'521.20 nebst Zins; die Kosten und Entschädigungsfolgen wurden zulasten des Gesuchsgegners und Beschwerde- führers (fortan Gesuchsgegner) geregelt (Urk. 12 S. 6 = Urk. 15 S. 6). b) Hiergegen erhob der Gesuchsgegner mit Eingabe vom 10. Mai 2019 recht- zeitig (vgl. Urk. 13/2) Berufung mit folgenden Anträgen (Urk. 14 S. 2): "Das Urteil des Bezirksgerichts Dielsdorf vom 18. April 2019 mit Geschäftsnummer EB1900-D/U/B-6/fd sei aufzuheben und das Rechtsöffnungsbegehren in der Betrei- bung Nummer ... des Betreibungsamtes Steinmaur vom 15. Januar 2019 über CHF 5'521.20 nebst Zins zu 5 % seit 15. Januar 2019 sowie CHF 73.30 Zahlungsbefehls- kosten sei vollumfänglich abzuweisen. Eventualiter: Es sei das Urteil vom 18. April 2019 mit Geschäfts-Nr. EB190085-D/U/B-6/fd aufzu- heben und die Sache zur erneuten Beurteilung an die Vorinstanz zurückzuweisen. Alles unter Entschädigungs- und Kostenfolgen zulasten des Beschwerdegegners." c) Der mit Verfügung vom 20. Mai 2019 einverlangte Kostenvorschuss ging fristgemäss ein (Urk. 18 und Urk. 19). Nachdem sich die Beschwerde – wie nach- folgend zu zeigen sein wird – als offensichtlich unbegründet erweist, kann auf das Einholen einer Beschwerdeantwort verzichtet werden (Art. 322 Abs. 1 ZPO).</w:t>
      </w:r>
    </w:p>
    <w:p>
      <w:r>
        <w:rPr>
          <w:b/>
        </w:rPr>
        <w:t>E. 2</w:t>
      </w:r>
    </w:p>
    <w:p>
      <w:r>
        <w:t>Mit der Beschwerde können unrichtige Rechtsanwendung und offensichtlich un- richtige Feststellung des Sachverhalts geltend gemacht werden (Art. 320 ZPO). Die Beschwerde ist begründet einzureichen (Art. 321 Abs. 1 ZPO). Dazu gehört, dass in der Beschwerde im Einzelnen dargelegt werden muss, was genau am an- gefochtenen Entscheid unrichtig sein soll. Was nicht in einer den gesetzlichen Begründungsanforderungen genügenden Weise beanstandet wird, braucht von</w:t>
      </w:r>
    </w:p>
    <w:p>
      <w:r>
        <w:t>- 3 - der Rechtsmittelinstanz nicht überprüft zu werden. Das gilt zumindest insoweit, als ein Mangel nicht geradezu ins Auge springt. Sodann sind im Beschwerdever- fahren neue Anträge, neue Tatsachenbehauptungen und neue Beweismittel aus- geschlossen (Art. 326 Abs. 1 ZPO).</w:t>
      </w:r>
    </w:p>
    <w:p>
      <w:r>
        <w:rPr>
          <w:b/>
        </w:rPr>
        <w:t>E. 3</w:t>
      </w:r>
    </w:p>
    <w:p>
      <w:r>
        <w:t>Die Vorinstanz hiess das Rechtsöffnungsgesuch gut und erwog hierzu Folgendes: Stehe die Verpflichtung zur Zahlung in einem zur definitiven Rechtsöffnung be- rechtigenden Titel unter einer auflösenden Bedingung, so könne der Schuldner die Rechtsöffnung nur verhindern, wenn er den Eintritt der Resolutivbedingung durch Urkunden beweise. Eine vertiefte Auslegung des Inhalts des Rechtsöff- nungstitels dürfe nicht Gegenstand von Verfahren nach Art. 80 SchKG sein. Kin- derunterhalt, der bis Ende der beruflichen Ausbildung geschuldet sei, sei gemäss bundesgerichtlicher Rechtsprechung resolutiv bedingt. Werde behauptet, dass kein Unterhalt über die Volljährigkeit hinaus mehr geschuldet sei, da sich die wirt- schaftlichen und persönlichen Umstände geändert hätten, so müsse eine Ände- rungsklage eingereicht werden. Vorliegend handle es sich beim vorgelegten Scheidungsurteil unbestrittenermassen um einen definitiven Rechtsöffnungstitel. Das Scheidungsurteil sei vollstreckbar (mit Verweis auf Urk. 4/3 S. 7). Der Passus in Ziffer 3.3. des Scheidungsurteils "bis zum Abschluss der ordentlichen Erstaus- bildung des Kindes" stelle eine Resolutivbedingung dar. Um die Rechtsöffnung er- folgreich verhindern zu können, müsse der Schuldner den Eintritt der Resolutiv- bedingung mittels Urkunden beweisen. Dies sei dem Gesuchsgegner jedoch nicht gelungen. Vielmehr räume er selbst ein, dass die gemeinsame Tochter die Aus- bildung aus gesundheitlichen Gründen abgebrochen habe und die Ausbildung ohne urkundlich belegten Grund sowie ohne Einbezug des Unterhaltspflichtigen gewechselt habe. Ob die Unterhaltsberechtigte den Wohnort gewechselt habe oder ein eigenes Einkommen erziele, sei im vorliegenden Verfahren nicht rele- vant. Dies könne nicht als Argument für ein Entfallen der Titelqualität für die defi- nitive Rechtsöffnung herangezogen werden. Entsprechend misslinge dem Ge- suchsgegner der Beweis der Einrede im Sinne von Art. 81 Abs. 1 SchKG; die Ein- rede der Stundung oder Verjährung sei weder vom Gesuchsgegner vorgebracht worden noch ginge sie aus den Akten hervor. Die in Betreibung gesetzte Forde-</w:t>
      </w:r>
    </w:p>
    <w:p>
      <w:r>
        <w:t>- 4 - rung sei ausgewiesen und demgemäss sei für den Betrag von Fr. 5'521.20 defini- tive Rechtsöffnung zu erteilen (Urk. 15 E. 1 f.).</w:t>
      </w:r>
    </w:p>
    <w:p>
      <w:r>
        <w:rPr>
          <w:b/>
        </w:rPr>
        <w:t>E. 4.1</w:t>
      </w:r>
    </w:p>
    <w:p>
      <w:r>
        <w:t>Der Gesuchsgegner beanstandet mit seiner Beschwerde zunächst, die Vor- instanz verkenne, dass gemäss bundesgerichtlicher Rechtsprechung die Rechts- öffnung zu verweigern sei, wenn sich das vom Sachgericht Gewollte infolge einer ungeschickten Formulierung nicht mit Sicherheit ermitteln lasse (mit Hinweis auf BGE 143 III 564 E. 4.3.2). Die Formulierung von Ziffer 3 der Scheidungskonventi- on erweise sich in jedem Fall als auslegungsbedürftig: Der erste Teil regle den zeitlichen Rahmen der Zahlungspflicht. Anschliessend werde festgehalten, der Unterhaltsbeitrag sei an die "Gesuchstellerin" [die damalige Ehefrau] zu leisten. Sodann würden drei kumulative Voraussetzungen genannt (Leben des Kindes im Haushalt der Mutter, keine Geltendmachung selbstständiger Ansprüche nach Art. 277 Abs. 2 ZGB und keine Bezeichnung einer anderen Zahlstelle). Mit ihrer Feststellung, beim Scheidungsurteil handle es sich unbestrittenermassen um ei- nen definitiven Rechtsöffnungstitel, wende die Vorinstanz klar das Recht falsch an. Es mache Sinn, die massgebliche Ziffer dahingehend zu verstehen, dass der Gesuchsgegner einen Kinderunterhaltsbeitrag bis zum ordentlichen Abschluss der Erstausbildung schulde, vorausgesetzt, die Tochter lebe bis dahin bei der Mutter, bezeichne keine andere Zahlstelle und mache nicht unter Berufung auf Art. 277 Abs. 2 ZGB in eigenem Namen einen Unterhaltsanspruch geltend. Dies würde auch mit der im Zeitpunkt des Scheidungsurteils massgebenden Recht- sprechung übereinstimmen. Im Jahr 2007 hätten Scheidungsrichter gemäss Rechtsprechung einzig über die Ansprüche minderjähriger Kinder befinden kön- nen; hinsichtlich der Ansprüche gemäss Art. 277 Abs. 2 ZGB sei ein Entscheid nur zulässig gewesen, wenn die Mündigkeit kurz bevorgestanden habe. Mithin sei das [für die Scheidung zuständige] Bezirksgericht Bülach gar nicht befugt gewe- sen, bereits den Mündigenunterhalt festzusetzen, da die Tochter damals erst acht Jahre alt gewesen sei. Das Gericht habe die Inhaberin der elterlichen Obhut hin- sichtlich des Kindesunterhalts in dem Sinne absichern können, als dass es des- sen Leistung bis zum ordentlichen Abschluss der Erstausbildung angeordnet ha- be, vorausgesetzt, die Tochter würde bis dahin im Haushalt der Mutter leben.</w:t>
      </w:r>
    </w:p>
    <w:p>
      <w:r>
        <w:t>- 5 - Entsprechend hätte der Unterhaltsbeitrag bis dato an die ehemalige Gesuchstelle- rin [damalige Ehefrau] entrichtet werden müssen, was die Parteien und ihre da- maligen Rechtsvertreter auch tatsächlich gewollt hätten. Die Tochter solle bei ei- nem allfälligen Auszug gestützt auf Art. 277 Abs. 2 ZGB einen eigenen Unter- haltsanspruch geltend machen. Damit stelle das Scheidungsurteil keinen Rechts- öffnungstitel dar (Urk. 14 Ziff. 2.2).</w:t>
      </w:r>
    </w:p>
    <w:p>
      <w:r>
        <w:rPr>
          <w:b/>
        </w:rPr>
        <w:t>E. 4.2</w:t>
      </w:r>
    </w:p>
    <w:p>
      <w:r>
        <w:t>Die streitige Dispositivziffer 3./3. des als Rechtsöffnungstitel eingereichten Scheidungsurteils vom 10. Oktober 2007 lautet wie folgt (Urk. 4/3 S. 3): "Der Gesuchsteller verpflichtet sich, an die Kosten des Unterhalts und der Erziehung des Kindes monatliche Unterhaltsbeiträge von Fr. 900.–, zuzüglich allfällige gesetzli- che oder vertragliche Kinderzulagen, jeweils am Ersten eines Monats im Voraus zu bezahlen, zahlbar ab Rechtskraft des Scheidungsurteils bis zum Abschluss der or- dentlichen Erstausbildung des Kindes, auch über die Mündigkeit hinaus, zahlbar an die Gesuchstellerin, solange das Kind in deren Haushalt lebt, keine selbstständigen Ansprüche gestützt auf Art. 277 Abs. 2 ZGB gegen den Gesuchsteller stellt und keine andere Zahlstelle bezeichnet. […]"</w:t>
      </w:r>
    </w:p>
    <w:p>
      <w:r>
        <w:rPr>
          <w:b/>
        </w:rPr>
        <w:t>E. 4.3</w:t>
      </w:r>
    </w:p>
    <w:p>
      <w:r>
        <w:t>Richtig ist, dass die Rechtsöffnung zu verweigern ist, wenn sich das vom Sachgericht Gewollte infolge einer ungeschickten Formulierung nicht mit Sicher- heit ermitteln lässt (BGE 143 III 564 E. 4.3.2). Eine solche Konstellation liegt vor- liegend jedoch nicht vor. Aufgrund des Wortlauts und Aufbaus der – im Übrigen gerichtsüblich formulierten – Klausel drängt sich der Schluss auf, dass sich der Passus "solange das Kind in deren Haushalt lebt, keine selbstständigen Ansprü- che gestützt auf Art. 277 Abs. 2 ZGB gegen den Gesuchsteller stellt und keine andere Zahlstelle bezeichnet" auf den unmittelbar vorhergehenden Passus "zahl- bar an die Gesuchstellerin" beziehen muss. Mithin ist der Unterhaltsbeitrag solan- ge an die Mutter des Kindes zu bezahlen, als das Kind in deren Haushalt lebt, keine selbstständigen Ansprüche gestützt auf Art. 277 Abs. 2 ZGB gegen den Gesuchsteller stellt und keine andere Zahlstelle bezeichnet. Für diese Auslegung spricht insbesondere der Passus "solange das Kind […] keine andere Zahlstelle bezeichnet". Der Gesuchsgegner will die Klausel dahingehend ausgelegt wissen, dass sich der Passus "solange das Kind in deren Haushalt lebt, keine selbststän- digen Ansprüche gestützt auf Art. 277 Abs. 2 ZGB gegen den Gesuchsteller stellt und keine andere Zahlstelle bezeichnet" auf den Abschnitt "zahlbar ab Rechts-</w:t>
      </w:r>
    </w:p>
    <w:p>
      <w:r>
        <w:t>- 6 - kraft des Scheidungsurteils bis zum Abschluss der ordentlichen Erstausbildung des Kindes, auch über die Mündigkeit hinaus" beziehe. Das würde bedeuten, dass die Parteien zwar eine Fortgeltung der Zahlungspflicht über die Volljährigkeit bis zum Ende der Ausbildung wollten, jedoch nur für so lange, als dass die Toch- ter zu Hause bei der Mutter lebt, keine eigenen Ansprüche gestützt auf Art. 277 Abs. 2 ZGB gegen den Gesuchsteller stellt und keine andere Zahlstelle bezeich- net. Dies erscheint geradezu abwegig (vgl. dazu auch OGer ZH RT190063 vom</w:t>
      </w:r>
    </w:p>
    <w:p>
      <w:r>
        <w:rPr>
          <w:b/>
        </w:rPr>
        <w:t>E. 8</w:t>
      </w:r>
    </w:p>
    <w:p>
      <w:r>
        <w:t>Nach dem Gesagten erweist sich die Beschwerde des Gesuchsgegners insge- samt als unbegründet, weshalb sie ohne Anhörung der Gegenseite abzuweisen ist.</w:t>
      </w:r>
    </w:p>
    <w:p>
      <w:r>
        <w:rPr>
          <w:b/>
        </w:rPr>
        <w:t>E. 9.1</w:t>
      </w:r>
    </w:p>
    <w:p>
      <w:r>
        <w:t>Die zweitinstanzliche Entscheidgebühr ist in Anwendung von Art. 48 i.V.m. Art. 61 Abs. 1 GebV SchKG auf Fr. 450.– festzusetzen und ausgangsgemäss dem Gesuchsgegner aufzuerlegen (Art. 106 Abs. 1 ZPO).</w:t>
      </w:r>
    </w:p>
    <w:p>
      <w:r>
        <w:rPr>
          <w:b/>
        </w:rPr>
        <w:t>E. 9.2</w:t>
      </w:r>
    </w:p>
    <w:p>
      <w:r>
        <w:t>Für das Beschwerdeverfahren sind keine Parteientschädigungen zuzuspre- chen, dem Gesuchsgegner zufolge seines Unterliegens, der Gesuchstellerin mangels entschädigungsbegründender Umtriebe (Art. 95 Abs. 3 ZPO;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