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RT190054 vom 22. Mai 2019</w:t>
      </w:r>
    </w:p>
    <w:p>
      <w:r>
        <w:t>ZH Obergericht, 2019-05-22, DE</w:t>
      </w:r>
    </w:p>
    <w:p>
      <w:r>
        <w:rPr>
          <w:b/>
        </w:rPr>
        <w:t xml:space="preserve">Quelle: </w:t>
      </w:r>
      <w:r>
        <w:t>https://mcp.opencaselaw.ch/entscheid/zh_obergericht_RT190054</w:t>
      </w:r>
    </w:p>
    <w:p>
      <w:r>
        <w:t>FR: ZH_OBERGERICHT RT190054 du 22 mai 2019</w:t>
      </w:r>
    </w:p>
    <w:p>
      <w:r>
        <w:t>IT: ZH_OBERGERICHT RT190054 del 22 maggio 2019</w:t>
      </w:r>
    </w:p>
    <w:p>
      <w:pPr>
        <w:pStyle w:val="Heading2"/>
      </w:pPr>
      <w:r>
        <w:t>Erwägungen</w:t>
      </w:r>
    </w:p>
    <w:p>
      <w:r>
        <w:rPr>
          <w:b/>
        </w:rPr>
        <w:t>E. 15</w:t>
      </w:r>
    </w:p>
    <w:p>
      <w:r>
        <w:t>März 2019 tatsächlich Beschwerde gegen das Urteil der Vorinstanz vom 1. März 2019 erheben oder ob er lediglich seinem Unmut Ausdruck verleihen woll- te, wurde ihm mit Schreiben vom 25. März 2019 die Möglichkeit zur Klärung ge- geben, unter Androhung, dass bei Stillschweigen die Eingabe vom 15. März 2019 als Beschwerde entgegengenommen werde. Sodann wurde ihm Gelegenheit ein- geräumt, auf die Durchführung eines formellen Beschwerdeverfahrens zu verzich- ten (Urk. 13). Der Gesuchsgegner liess sich innert Frist nicht vernehmen (Urk. 13). Dementsprechend ist das Beschwerdeverfahren durchzuführen. 3.1 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Da- bei sind blosse Verweise auf Vorakten unzureichend (BGE 138 III 374 Erw. 4.3.1; Freiburghaus/Afheldt in: Sutter-Somm/Hasenböhler/Leuenberger, ZPO-Komm., 3. A., Art. 321 N 15). Es muss konkret aufgezeigt werden, inwiefern der angefoch- tene Entscheid als fehlerhaft erachtet wird. Was nicht beanstandet wird, braucht grundsätzlich nicht geprüft zu werden. Werden keine, unzulässige oder ungenü- gende Rügen erhoben, stellt dies einen nicht behebbaren Mangel dar (vgl. Art. 132 ZPO), d.h. ist nicht eine Nachfrist zur ergänzenden Begründung anzuset- zen, sondern ist die Beschwerde abzuweisen bzw. ist darauf nicht einzutreten. 3.2.1 Der Gesuchsgegner wiederholt im Wesentlichen lediglich das bereits vor Vorinstanz Ausgeführte, wonach der Gesuchsteller auf sein Gesuch um Ra- tenzahlung und damit auf seine Forderung nach Stundung nicht eingegangen sei (vgl. Urk. 10 mit Urk. 5). Damit sei noch keine endgültige Entscheidung getroffen worden, weshalb auch keine Spruchgebühr verlangt werden könne (Urk. 10). Mit dieser Einwendung setzt sich der Gesuchsgegners gerade nicht mit der Erwä- gung der Vorinstanz auseinander, wonach dieses Vorbringen den definitiven Rechtsöffnungstitel nicht zu entkräften vermöge (Urk. 11 S. 4). Wie bereits von der Vorinstanz festgehalten, wird im Rechtsöffnungsverfahren einzig geprüft, ob für die geltend gemachte Forderung ein Rechtsöffnungstitel vorliegt und die Vo- raussetzungen für eine (wie vorliegend) definitive Rechtsöffnung (entsprechender</w:t>
      </w:r>
    </w:p>
    <w:p>
      <w:r>
        <w:t>- 4 - Rechtsöffnungstitel, keine Einwendungen nach Art. 81 SchKG [Stundung, Til- gung, Erlass oder Verjährung]) erfüllt sind. Da der Gesuchsgegner – wie von ihm selber ausgeführt – keine Ratenzahlung bewilligt erhalten hatte, war ihm die For- derung nicht gestundet worden. Das blosse Stellen eines Ratenzahlungsgesuchs entkräftet den Rechtsöffnungstitel nicht. Hat der Gesuchsteller auf das genannte Gesuch – wie vom Gesuchsgegner behauptet – nicht reagiert, liegt keine Stun- dung vor. Ein Anspruch auf Beantwortung des Stundungsgesuchs besteht nicht. Dementsprechend erteilte die Vorinstanz zu Recht definitive Rechtsöffnung, lagen doch keine weiteren Einwendungen im Sinne von Art. 81 SchKG vor. Nach dem Gesagten fehlt es der Beschwerde an einer den gesetzlichen Vorgaben genügen- den Begründung, weshalb darauf nicht einzutreten ist. 3.3 Damit erweist sich die Beschwerde als offensichtlich unbegründet, weshalb auf das Einholen einer Beschwerdeantwort der Gegenpartei verzichtet werden kann (Art. 322 Abs. 1 ZPO). 3.1 Die Entscheidgebühr für das Beschwerdeverfahren ist in Anwendung von Art. 48 i.V.m. Art. 61 Abs. 1 GebV SchKG (vgl. ZR 110/2011 Nr. 28) auf Fr. 300.– festzusetzen. Die Gerichtskosten sind ausgangsgemäss dem Gesuchs- gegner aufzuerlegen (Art. 106 Abs. 1 ZPO). 3.2 Der Gesuchsgegner stellte für das Beschwerdeverfahren ein Gesuch um Gewährung der unentgeltlichen Rechtspflege (Urk. 10). Dieses ist zufolge Aussichtslosigkeit der Beschwerde abzuweisen (Art. 117 lit. b ZPO in Verbindung mit Art. 118 Abs. 1 lit. c ZPO). 3.3 Dem Gesuchsteller ist mangels relevanter Umtriebe im Beschwerde- verfahren keine Parteientschädigung zuzusprechen (vgl.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