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RT190047 vom 7. August 2019</w:t>
      </w:r>
    </w:p>
    <w:p>
      <w:r>
        <w:t>ZH Obergericht, 2019-08-07, DE</w:t>
      </w:r>
    </w:p>
    <w:p>
      <w:r>
        <w:rPr>
          <w:b/>
        </w:rPr>
        <w:t xml:space="preserve">Quelle: </w:t>
      </w:r>
      <w:r>
        <w:t>https://mcp.opencaselaw.ch/entscheid/zh_obergericht_RT190047</w:t>
      </w:r>
    </w:p>
    <w:p>
      <w:r>
        <w:t>FR: ZH_OBERGERICHT RT190047 du 7 août 2019</w:t>
      </w:r>
    </w:p>
    <w:p>
      <w:r>
        <w:t>IT: ZH_OBERGERICHT RT190047 del 7 agosto 2019</w:t>
      </w:r>
    </w:p>
    <w:p>
      <w:pPr>
        <w:pStyle w:val="Heading2"/>
      </w:pPr>
      <w:r>
        <w:t>Erwägungen</w:t>
      </w:r>
    </w:p>
    <w:p>
      <w:r>
        <w:rPr>
          <w:b/>
        </w:rPr>
        <w:t>E. 1</w:t>
      </w:r>
    </w:p>
    <w:p>
      <w:r>
        <w:t>Die Gesuchstellerin und Beschwerdegegnerin (fortan Gesuchstellerin) hat mit der C._____ GmbH am 11. April 2017 neben einem Rahmenvertrag für einen Investitionskredit (B._____ Global Agreement for an investment loan) einen Rah- menvertrag für eine kommerzielle Finanzierung (B._____ Global Agreement for a Commercial Financing; Urk. 5/2, deutsche Übersetzung in Urk. 10/2a) abge- schlossen. Unterzeichnet wurde Letzterer vom Gesuchsgegner und Beschwerde- führer (fortan Gesuchsgegner) in seiner Funktion als einzelzeichnungsberechtig- ter Gesellschafter der C._____ GmbH. Die maximale Kreditsumme betrug Fr. 350'000.–, wobei der Kreditrahmen als Kontokorrentkredit, als festverzinslicher Vorschuss und für die Ausstellung von Bankgarantien genutzt werden konnte. Am gleichen Tag verpflichtete sich der Gesuchsgegner in einem öffentlich beurkunde- ten Solidarbürgschaftsvertrag, der Gesuchstellerin bis zur Summe von Fr. 200'000.– solidarisch und bis zur gänzlichen Tilgung des der Gesuchstellerin aus gewährten oder zu gewährenden Kredit(en) jeweils zustehenden Guthabens ohne Rücksicht darauf, ob für dieses Guthaben oder einen Teil davon noch ande- re Sicherheiten bestünden, zu haften (Urk. 5/5).</w:t>
      </w:r>
    </w:p>
    <w:p>
      <w:r>
        <w:rPr>
          <w:b/>
        </w:rPr>
        <w:t>E. 2</w:t>
      </w:r>
    </w:p>
    <w:p>
      <w:r>
        <w:t>Bereits am 1. April 2017 hatte die C._____ GmbH der Gesuchstellerin einen Auftrag zur Erstellung einer Mietzinsgarantie zu Gunsten der D._____ AG im Be- trag von Fr. 250'000.– erteilt (Urk. 5/6). Am 13. April 2017 hat die Gesuchstellerin eine solche Mietzinsgarantie in Höhe von Fr. 250'000.– zugunsten der D._____ AG unterzeichnet und dieser übermittelt (Urk. 5/7). Diese Garantie wurde von der D._____ AG am 23. April 2018 im Umfang von Fr. 236'494.34 in Anspruch ge- nommen und der Betrag am 24. April 2018 von der Gesuchstellerin an die D._____ AG ausbezahlt (Urk. 5/8; Urk. 5/9). In der Folge hat die Gesuchstellerin den Rahmenvertrag für eine kommerzielle Finanzierung sowie den Rahmenver- trag für einen Investitionskredit gekündigt und der C._____ GmbH für den offenen Gesamtbetrag von angeblich Fr. 713'006.95 eine Zahlungsfrist bis zum 9. Juli 2018 angesetzt (Urk. 5/12). Da die C._____ GmbH trotz Mahnung und Nachfrist-</w:t>
      </w:r>
    </w:p>
    <w:p>
      <w:r>
        <w:t>- 3 - gewährung keine Zahlung leistete (Urk. 5/14), hat die Gesuchstellerin den Ge- suchsgegner unter Rückgriff auf die getroffene Solidarbürgschaftsverpflichtung mit Schreiben vom 18. Juli 2018 aufgefordert, den Betrag von Fr. 200'000.– zu überweisen (Urk. 5/16).</w:t>
      </w:r>
    </w:p>
    <w:p>
      <w:r>
        <w:rPr>
          <w:b/>
        </w:rPr>
        <w:t>E. 3</w:t>
      </w:r>
    </w:p>
    <w:p>
      <w:r>
        <w:t>Die Gesuchstellerin verlangt im vorliegenden Verfahren provisorische Rechtsöffnung für den in der Solidarbürgschaftsverpflichtung verbrieften Betrag von Fr. 200'000.– zuzüglich Zins und Betreibungskosten (Urk. 1 S. 2). Die Vor- instanz hiess das Rechtsöffnungsgesuch mit Urteil vom 12. März 2019 im We- sentlichen gut (Urk. 29).</w:t>
      </w:r>
    </w:p>
    <w:p>
      <w:r>
        <w:rPr>
          <w:b/>
        </w:rPr>
        <w:t>E. 4</w:t>
      </w:r>
    </w:p>
    <w:p>
      <w:r>
        <w:t>Hiergegen erhob der Gesuchsgegner innert Frist Beschwerde und stellte folgende Anträge (Urk. 28 S. 2): " Das Urteil des Bezirksgerichts Zürich, Einzelgericht Audienz, vom 12. März 2019, EB181456-L, sei vollständig aufzuheben und es sei das Rechtsöffnungsgesuch der Beschwerdegegnerin vom 10. Oktober 2018 abzuweisen. Unter Kosten- und Entschädigungsfolgen zuzüglich MwSt. zu Lasten der Beschwerdegegnerin."</w:t>
      </w:r>
    </w:p>
    <w:p>
      <w:r>
        <w:rPr>
          <w:b/>
        </w:rPr>
        <w:t>E. 5</w:t>
      </w:r>
    </w:p>
    <w:p>
      <w:r>
        <w:t>Das Gesuch um Erteilung der aufschiebenden Wirkung wurde mit Verfügung vom 29. März 2019 abgewiesen (Urk. 32). Den ihm zugleich auferlegten Kosten- vorschuss leistete der Gesuchsgegner innert Frist (Urk. 33). Die Beschwerdeant- wort der Gesuchstellerin datiert vom 9. Mai 2019 (Urk. 35). In der Folge gingen im Rahmen des Replikrechts weitere Stellungnahmen ein (Urk. 40; Urk. 42; Urk. 44), welche der Gegenseite jeweils zur Kenntnisnahme zugestellt wurden (Urk. 41; Urk. 43; Urk. 45).</w:t>
      </w:r>
    </w:p>
    <w:p>
      <w:r>
        <w:rPr>
          <w:b/>
        </w:rPr>
        <w:t>E. 6</w:t>
      </w:r>
    </w:p>
    <w:p>
      <w:r>
        <w:t>Der Gesuchsgegner wendet weiter ein, die Gesuchstellerin habe mit der C._____ GmbH zeitlich nach dem Antrag zur Erstellung einer Garantie, aber vor der Abgabe des Garantieversprechens gegenüber der D._____ AG, einen Rah- menvertrag geschlossen, welcher die Modalitäten der Garantie anderweitig regle und beispielsweise eine Kommission von 1.2% vorsehe. Damit sei der Rücker- stattungsanspruch der Gesuchstellerin gegenüber der C._____ GmbH aufgrund der Garantie vertraglich geändert worden. Massgebend für den Rückerstattungs- anspruch sei seit diesem Zeitpunkt der Rahmenvertrag, weshalb die vor- instanzliche Feststellung, die ausgestellte Garantie fusse auf dem Antrag zur Er-</w:t>
      </w:r>
    </w:p>
    <w:p>
      <w:r>
        <w:t>- 10 - stellung einer Garantie, unzutreffend sei. Der Antrag zur Erstellung einer Garantie sei durch den Rahmenvertrag abgelöst worden (Urk. 28 S. 7). Die Behauptung, der Antrag zur Erstellung einer Garantie sei durch den Rahmen- vertrag abgelöst worden, wird erstmals im Beschwerdeverfahren und damit ver- spätet erhoben. Darauf ist deshalb nicht weiter einzugehen.</w:t>
      </w:r>
    </w:p>
    <w:p>
      <w:r>
        <w:rPr>
          <w:b/>
        </w:rPr>
        <w:t>E. 7</w:t>
      </w:r>
    </w:p>
    <w:p>
      <w:r>
        <w:t>Schliesslich macht der Gesuchsgegner geltend, der Antrag zur Erstellung einer Garantie sei nicht von ihm unterzeichnet worden. Die Unterschrift auf dem Antrag stimme augenscheinlich nicht mit derjenigen auf der Solidarbürgschafts- verpflichtung und dem Rahmenvertrag für eine kommerzielle Finanzierung über- ein. Er habe vor Vorinstanz darauf hingewiesen, dass insbesondere das letzte Zeichen der Unterschrift auf dem Antrag völlig anders aussehe als auf allen ande- ren Dokumenten. Die Vorinstanz habe dieses Vorbringen zu Unrecht als unzuläs- siges Novum und als aktenwidrig abgetan (Urk. 28 S. 7 f.). Wie die Vorinstanz zutreffend festgehalten hat, gilt im Rechtsöffnungsverfahren eine tatsächliche Vermutung für die Richtigkeit der angebrachten Unterschriften, sofern sie nicht von vornherein verdächtig erscheinen. Dies hat zur Konsequenz, dass die blosse Bestreitung der Echtheit der Unterschrift nicht ausreicht, sondern deren Fälschung glaubhaft gemacht werden muss. Um das Gericht zu überzeu- gen, kann sich der Betriebene nicht damit begnügen, die Echtheit der Unterschrift zu bestreiten; er muss mit Urkunden oder anderen sofort verfügbaren Beweismit- teln nachweisen, dass eine Fälschung der Unterschrift wahrscheinlicher ist als de- ren Authentizität (BGE 132 III 140 E. 4.1.2 = Pra 2006 Nr. 133). Dies gelingt dem Gesuchsgegner nicht. Die vier Unterschriften auf dem Antrag zur Erstellung einer Garantie (Urk. 5/6), der Solidarbürgschaftsverpflichtung (Urk. 5/5 S. 2) und dem Rahmenvertrag für eine kommerzielle Finanzierung (Urk. 5/2 S. 3) sind zwar nicht deckungsgleich. Dies sind handschriftliche Unterschriften aber nie. Das zeigt sich exemplarisch beim vom Gesuchsgegner unbestrittenermassen sowohl als Soli- darbürge als auch als einzelzeichnungsberechtigter Gesellschafter der C._____ GmbH unterzeichneten Rahmenvertrag für eine kommerzielle Finanzierung. Die beiden Unterschriften weisen eine grosse Ähnlichkeit, aber keine absolute Über- einstimmung auf. Trotzdem ist unbestritten, dass es sich beide Male um die Un-</w:t>
      </w:r>
    </w:p>
    <w:p>
      <w:r>
        <w:t>- 11 - terschrift des Gesuchsgegners handelt. Die Unterschrift auf dem Antrag zur Er- stellung einer Garantie wie auch diejenige auf der separaten Solidarbürgschafts- verpflichtung weisen dieselbe Ähnlichkeit auf. Sämtliche Unterschriften beginnen mit dem erkennbaren Anfangsbuchstaben 'P', worauf ein markanter Mittelteil mit rechtsseitig geöffneten Bögen folgt. Entgegen dem Gesuchsgegner handelt es sich auf dem Antrag zur Erstellung einer Garantie nicht um eine völlig andere Un- terschrift. Der Vorinstanz ist daher zuzustimmen, dass die Unterschrift auf dem Antrag zur Erstellung einer Garantie nicht verdächtig erscheint und der Gesuchs- gegner nicht glaubhaft gemacht hat, dass die massgebende Unterschrift unecht ist. Die vorinstanzliche Beweiswürdigung ist jedenfalls nicht offensichtlich unrichtig im Sinne des Beschwerdegrundes von Art. 320 lit. b ZPO.</w:t>
      </w:r>
    </w:p>
    <w:p>
      <w:r>
        <w:rPr>
          <w:b/>
        </w:rPr>
        <w:t>E. 8</w:t>
      </w:r>
    </w:p>
    <w:p>
      <w:r>
        <w:t>Zusammenfassend erweisen sich die Rügen des Gesuchsgegners als un- begründet. Die Vorinstanz hat zu Recht gestützt auf den Antrag zur Erstellung ei- ner Garantie provisorische Rechtsöffnung erteilt. Eine Auseinandersetzung mit den weiteren Einwendungen des Gesuchsgegners gegen die Qualifikation des Rahmenvertrages für eine kommerzielle Finanzierung als Rechtsöffnungstitel (Urk. 28 S. 8-11) kann daher unterbleiben. Die Beschwerde ist abzuweisen. D.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