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RT180224 vom 27. März 2019</w:t>
      </w:r>
    </w:p>
    <w:p>
      <w:r>
        <w:t>ZH Obergericht, 2019-03-27, DE</w:t>
      </w:r>
    </w:p>
    <w:p>
      <w:r>
        <w:rPr>
          <w:b/>
        </w:rPr>
        <w:t xml:space="preserve">Quelle: </w:t>
      </w:r>
      <w:r>
        <w:t>https://mcp.opencaselaw.ch/entscheid/zh_obergericht_RT180224</w:t>
      </w:r>
    </w:p>
    <w:p>
      <w:r>
        <w:t>FR: ZH_OBERGERICHT RT180224 du 27 mars 2019</w:t>
      </w:r>
    </w:p>
    <w:p>
      <w:r>
        <w:t>IT: ZH_OBERGERICHT RT180224 del 27 marzo 2019</w:t>
      </w:r>
    </w:p>
    <w:p>
      <w:pPr>
        <w:pStyle w:val="Heading2"/>
      </w:pPr>
      <w:r>
        <w:t>Volltext</w:t>
      </w:r>
    </w:p>
    <w:p>
      <w:r>
        <w:t>Obergericht des Kantons Zürich I. Zivilkammer Geschäfts-Nr.: RT180224-O/U Mitwirkend: Oberrichterin Dr. L. Hunziker Schnider, Vorsitzende, Oberrichterin Dr. D. Scherrer und Oberrichter lic. iur. A. Huizinga sowie Gerichtsschreiberin lic. iur. K. Montani Schmidt Urteil vom 27. März 2019 in Sachen A._____, Beklagter und Beschwerdeführer gegen B._____, Klägerin und Beschwerdegegnerin vertreten durch Rechtsanwältin lic. iur. X._____, betreffend Rechtsöffnung Beschwerde gegen ein Urteil des Einzelgerichts im summarischen Verfahren am Bezirksgericht Horgen vom 7. November 2018 (EB180283-F)</w:t>
      </w:r>
    </w:p>
    <w:p>
      <w:r>
        <w:t>- 2 - Erwägungen: 1.1 Mit Urteil vom 7. November 2018 erteilte die Vorinstanz der Klägerin und Beschwerdegegnerin (fortan Klägerin) in der Betreibung Nr. … des Betrei- bungsamtes Thalwil-Rüschlikon-Kilchberg (Zahlungsbefehl vom 31. August 2018) gestützt auf das Urteil des Einzelgerichts im vereinfachten Verfahren am Bezirks- gericht Horgen vom 18. Mai 2018 für ausstehenden Lohn sowie für ausstehende Ferienentschädigung, Entschädigung für ungerechtfertigte fristlose Entlassung und Parteientschädigung definitive Rechtsöffnung für Fr. 6'558.50 nebst 5% Zins seit 10. November 2017, für Fr. 1'200.– Prozessentschädigung nebst Zins zu 5% seit 18. Mai 2018 und für die Betreibungskosten sowie für Kosten und Entschädi- gung gemäss jenem Entscheid (Urk. 21 S. 6 = Urk. 18 S. 6). Dieses Urteil erging zunächst in unbegründeter, hernach auf Begehren des Beklagten und Beschwer- deführers (fortan Beklagter) in begründeter Form (Urk. 14; Urk. 17; Urk. 18). 1.2 Hiergegen erhob der Beklagte mit Schreiben vom 13. Dezember 2018 (gleichentags überbracht) innert Frist Beschwerde mit dem sinngemässen Antrag auf Abweisung des Rechtsöffnungsbegehrens (Urk. 20 S. 1 ff.). 2.1.1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nicht oder nicht in einer den gesetzlichen Begründungsanforderun- gen genügenden Weise beanstandet wird, braucht von der Rechtsmittelinstanz</w:t>
      </w:r>
    </w:p>
    <w:p>
      <w:r>
        <w:t>- 3 - nicht überprüft zu werden. Das gilt zumindest insoweit, als ein Mangel nicht gera- dezu ins Auge springt. Insofern erfährt der Grundsatz der Rechtsanwendung von Amtes wegen (Art. 57 ZPO) im Beschwerdeverfahren eine Relativierung (BK ZPO I-Hurni, Art. 57 N 21 und N 39 ff.). 2.1.2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Frei- burghaus/Afheldt in: Sutter-Somm/Hasenböhler/Leuenberger, ZPO-Komm., 3. A., Art. 326 N 4; vgl. aber immerhin auch BGE 139 III 466 E. 3.4 S. 471 und BGer 4A_51/2015 vom 20. April 2015, E. 4.5.1). 2.2 Nach dem Gesagten sind die erstmals im Beschwerdeverfahren ein- gereichten Unterlagen (Urk. 23/1-4; Urk. 23/6-7; Urk. 23/11; Urk. 23/13-14) neu und dementsprechend unzulässig und unbeachtlich. Die Ausführungen des Be- klagten, welche über das bereits vor Vorinstanz Dargelegte hinausgehen, sind ebenso neu und damit unzulässig und unbeachtlich. Darauf ist nicht einzutreten. 2.3 Erschöpfen sich die Ausführungen des Beklagten lediglich in (grös- senteils wörtlichen) Wiederholungen des bereits vor Vorinstanz Dargelegten, vermag seine Beschwerdebegründung den gesetzlichen Vorgaben – wie voran- gehend ausgeführt (vgl. Erw. 2.1.1) – nicht zu genügen (vgl. Urk. 10 S. 1-3 mit Urk. 20 S. 4-6). Es fehlt an einer Auseinandersetzung mit den vorinstanzlichen Erwägungen. Entsprechend ist darauf nicht weiter einzugehen. 2.4 Im Übrigen bringt der Beklagte im Wesentlichen vor, mit dem Urteil des Einzelgerichts im vereinfachten Verfahren am Bezirksgericht Horgen vom 18. Mai 2018 (dem vorliegenden Rechtsöffnungstitel) sowie mit der Verfügung desselben Gerichts vom 13. Juni 2018, mit welcher im damaligen Verfahren sein Begehren um Wiederherstellung der Frist zur Erstattung der Klageantwort abgewiesen wor-</w:t>
      </w:r>
    </w:p>
    <w:p>
      <w:r>
        <w:t>- 4 - den ist, nicht einverstanden zu sein. Damit verkennt der Beklagte, dass im Rechtsöffnungsverfahren nicht mehr geprüft wird, ob eine Forderung zu Recht besteht oder nicht bzw. ob sie begründet ist oder nicht. Im Vollstreckungsverfah- ren findet keine inhaltliche Überprüfung des Sachentscheides statt. Mit der dies- bezüglich zutreffenden Erwägung der Vorinstanz setzt sich der Beklagte nicht auseinander. Damit hat es sein Bewenden. 2.5 Entsprechend erweist sich die Beschwerde als offensichtlich unbe- gründet bzw. unzulässig, weshalb auf das Einholen einer Beschwerdeantwort der Gegenpartei verzichtet werden kann (Art. 322 Abs. 1 ZPO). Die Beschwerde ist abzuweisen, soweit darauf einzutreten ist. 3.1 Die Entscheidgebühr für das Beschwerdeverfahren ist in Anwendung von Art. 48 i.V.m. Art. 61 Abs. 1 GebV SchKG (vgl. ZR 110/2011 Nr. 28) auf Fr. 300.– festzusetzen. Die Gerichtskosten sind ausgangsgemäss dem Beklagten aufzuerlegen (Art. 106 Abs. 1 ZPO). 3.2 Der Klägerin ist mangels relevanter Umtriebe für das Beschwerdever- fahren keine Parteientschädigung zuzusprechen (vgl. Art. 95 Abs. 3 ZPO). Es wird erkannt: 1. Die Beschwerde wird abgewiesen, soweit darauf eingetreten wird. 2. Die zweitinstanzliche Entscheidgebühr wird auf Fr. 300.– festgesetzt. 3. Die Kosten für das zweitinstanzliche Verfahren werden dem Beklagten auf- erlegt. 4. Es werden keine Parteientschädigungen zugesprochen. 5. Schriftliche Mitteilung an die Parteien, an die Klägerin unter Beilage je eines Doppels bzw. einer Kopie der Urk. 20, Urk. 22, Urk. 23/1-8 und Urk. 23/10-14, sowie an die Vorinstanz, je gegen Empfangsschein.</w:t>
      </w:r>
    </w:p>
    <w:p>
      <w:r>
        <w:t>- 5 -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7'758.50. Die Beschwerde an das Bundesgericht hat keine aufschiebende Wirkung. Hinsichtlich des Fristenlaufs gelten die Art. 44 ff. BGG. Zürich, 27. März 2019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