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RT180219 vom 30. Januar 2019</w:t>
      </w:r>
    </w:p>
    <w:p>
      <w:r>
        <w:t>ZH Obergericht, 2019-01-30, DE</w:t>
      </w:r>
    </w:p>
    <w:p>
      <w:r>
        <w:rPr>
          <w:b/>
        </w:rPr>
        <w:t xml:space="preserve">Quelle: </w:t>
      </w:r>
      <w:r>
        <w:t>https://mcp.opencaselaw.ch/entscheid/zh_obergericht_RT180219</w:t>
      </w:r>
    </w:p>
    <w:p>
      <w:r>
        <w:t>FR: ZH_OBERGERICHT RT180219 du 30 janvier 2019</w:t>
      </w:r>
    </w:p>
    <w:p>
      <w:r>
        <w:t>IT: ZH_OBERGERICHT RT180219 del 30 gennaio 2019</w:t>
      </w:r>
    </w:p>
    <w:p>
      <w:pPr>
        <w:pStyle w:val="Heading2"/>
      </w:pPr>
      <w:r>
        <w:t>Erwägungen</w:t>
      </w:r>
    </w:p>
    <w:p>
      <w:r>
        <w:rPr>
          <w:b/>
        </w:rPr>
        <w:t>E. 14</w:t>
      </w:r>
    </w:p>
    <w:p>
      <w:r>
        <w:t>September 2018 sowie für Fr. 73.30 (Kosten Zahlungsbefehl) ersuchte (Urk. 5/1 S. 1; Urk. 5/3/3; Urk. 5/3/6). In der Folge ordnete die Vorinstanz mit Ver- fügung vom 15. November 2018 das schriftliche Verfahren an (Urk. 5/4 S. 2, Dis- positivziffer 1). Gleichzeitig setzte sie dem Gesuchsgegner und Beschwerdeführer (fortan Gesuchsgegner) eine letztmalige 14-tägige Frist zur Stellungnahme zum Rechtsöffnungsbegehren an (Urk. 5/4 S. 2, Dispositivziffer 2). 1.2 Hiergegen erhob der Gesuchsgegner mit Schreiben vom 8. Dezember 2018 (Datum Poststempel: 10. Dezember 2018, eingegangen am 11. Dezember 2018) innert Frist Beschwerde mit folgenden sinngemässen Anträgen (Urk. 1 S. 2): 1. Die angefochtene Verfügung sei als nichtig zu deklarieren. 2. Dem Beschwerdeführer sei für das Beschwerdeverfahren die unentgeltliche Rechts- pflege zu gewähren. 2.1 Die angefochtene Verfügung ist prozessleitender Natur. Gegen pro- zessleitende Verfügungen ist die Beschwerde – von den hier nicht einschlägigen, im Gesetz explizit vorgesehenen Fällen (Art. 319 lit. b Ziff. 1 ZPO) abgesehen – nur zulässig, wenn durch sie der Beschwerde führenden Partei ein nicht leicht wiedergutzumachender Nachteil droht (Art. 319 lit. b Ziff. 2 ZPO). Darauf hat schon die Vorinstanz in ihrer Rechtsmittelbelehrung hingewiesen (Urk. 2 S. 3). 2.2 Der Gesuchsgegner bringt lediglich vor, dass versucht werde, ihm Kos- ten weiterzureichen. Diese seien in einem Verfahren entschieden worden, wel-</w:t>
      </w:r>
    </w:p>
    <w:p>
      <w:r>
        <w:t>- 3 - ches aufgrund der Vorgehensweise der zuständigen Richterin im Scheidungsver- fahren vorübergehend bis zur endgültigen Entscheidung auf Eis gelegt worden sei (Urk. 1 S. 1). Damit stellt sich der Gesuchsgegner gegen die Erteilung der definiti- ven Rechtsöffnung, ohne aber aufzuzeigen – solches ist auch nicht ersichtlich –, worin ihm durch die Anordnung des schriftlichen Verfahrens und die Fristanset- zung zur Stellungnahme ein nicht leicht wiedergutzumachender Nachteil drohte. So besteht zum einen im Verfahren betreffend Erteilung der definitiven Rechtsöff- nung kein Anspruch auf eine mündliche Verhandlung (BGE 141 I 97 E. 5). Zum anderen kann – selbst wenn das Verfahren ohne die Stellungnahme des Ge- suchsgegners fortgesetzt würde – ein solch prozessualer Mangel immer noch mit dem Rechtsmittel gegen den Endentscheid beanstandet und gegebenenfalls kor- rigiert werden (vgl. BGer 5A_307/2011 vom 13. Juli 2011, E. 2; BGE 133 III 629 E. 2.3.1). Entsprechend sind die Anfechtungsvoraussetzungen für die Verfügung vom 15. November 2018 nicht erfüllt. Auf die Beschwerde ist nicht einzutreten. 2.3 Damit erweist sich die vorliegende Beschwerde als offensichtlich unzu- lässig, weshalb auf das Einholen einer Beschwerdeantwort der Gegenpartei ver- zichtet werden kann (Art. 322 Abs. 1 ZPO). Auf die Beschwerde ist nicht einzutre- ten. 3.1 Die Entscheidgebühr für das Beschwerdeverfahren ist in Anwendung von Art. 48 i.V.m. Art. 61 Abs. 1 GebV SchKG (vgl. ZR 110/2011 Nr. 28) auf Fr. 300.– festzusetzen. Die Gerichtskosten sind ausgangsgemäss dem Gesuchs- gegner aufzuerlegen (Art. 106 Abs. 1 ZPO). 3.2 Der Gesuchsgegner hat für das Beschwerdeverfahren um Gewährung der unentgeltlichen Rechtspflege ersucht (Urk. 1 S. 2). Dieses Gesuch ist jedoch zufolge Aussichtslosigkeit der Beschwerde (vgl. vorstehende Erwägungen) abzu- weisen (Art. 117 lit. b ZPO). 3.3 Der Gesuchstellerin ist mangels relevanter Umtriebe im Beschwerde- verfahren keine Parteientschädigung zuzusprechen (vgl. Art. 95 Abs. 3 lit. c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