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RT180212 vom 11. Februar 2019</w:t>
      </w:r>
    </w:p>
    <w:p>
      <w:r>
        <w:t>ZH Obergericht, 2019-02-11, DE</w:t>
      </w:r>
    </w:p>
    <w:p>
      <w:r>
        <w:rPr>
          <w:b/>
        </w:rPr>
        <w:t xml:space="preserve">Quelle: </w:t>
      </w:r>
      <w:r>
        <w:t>https://mcp.opencaselaw.ch/entscheid/zh_obergericht_RT180212</w:t>
      </w:r>
    </w:p>
    <w:p>
      <w:r>
        <w:t>FR: ZH_OBERGERICHT RT180212 du 11 février 2019</w:t>
      </w:r>
    </w:p>
    <w:p>
      <w:r>
        <w:t>IT: ZH_OBERGERICHT RT180212 del 11 febbraio 2019</w:t>
      </w:r>
    </w:p>
    <w:p>
      <w:pPr>
        <w:pStyle w:val="Heading2"/>
      </w:pPr>
      <w:r>
        <w:t>Erwägungen</w:t>
      </w:r>
    </w:p>
    <w:p>
      <w:r>
        <w:rPr>
          <w:b/>
        </w:rPr>
        <w:t>E. 1</w:t>
      </w:r>
    </w:p>
    <w:p>
      <w:r>
        <w:t>Mit Urteil vom 22. November 2018 erteilte die Vorinstanz dem Kläger und Beschwerdeführer (fortan Kläger) provisorische Rechtsöffnung in der Betrei- bung Nr. …, Betreibungsamt Wädenswil, Zahlungsbefehl vom 23. Mai 2018, für Fr. 3'500.– und Fr. 161.60 Betreibungskosten sowie für Kosten gemäss Ziffern 2 und 3 des Dispositivs. Im Mehrbetrag wies sie das Rechtsöffnungsbegehren ab (Urk. 23 S. 9, Dispositiv-Ziffer 1).</w:t>
      </w:r>
    </w:p>
    <w:p>
      <w:r>
        <w:rPr>
          <w:b/>
        </w:rPr>
        <w:t>E. 2</w:t>
      </w:r>
    </w:p>
    <w:p>
      <w:r>
        <w:t>Gegen dieses Urteil erhob der Kläger innert Frist (Urk. 18/2) mit Einga- be vom 1. Dezember 2018 bei der Vorinstanz "Einsprache" mit dem sinngemäs- sen Begehren, es sei das vorinstanzliche Urteil aufzuheben und es sei für den gesamten Betrag von Fr. 20'219.95 provisorische Rechtsöffnung zu erteilen (Urk. 22 in Verbindung mit Urk. 1). Dieses Begehren wurde von der Vorinstanz zustän- digkeitshalber zusammen mit den Akten an die Kammer weitergeleitet (Urk. 22, angehefteter Empfangsschein).</w:t>
      </w:r>
    </w:p>
    <w:p>
      <w:r>
        <w:rPr>
          <w:b/>
        </w:rPr>
        <w:t>E. 3</w:t>
      </w:r>
    </w:p>
    <w:p>
      <w:r>
        <w:t>Mit Verfügung vom 7. Dezember 2018 wurde dem Kläger Frist ange- setzt, um für die Gerichtskosten des Beschwerdeverfahrens einen Kostenvor- schuss von Fr. 500.– zu leisten, unter der Androhung, dass bei Säumnis auch in- nerhalb einer noch anzusetzenden Nachfrist auf die Beschwerde nicht eingetreten werde (Urk. 26 S. 2, Dispositiv-Ziffer 1). Mit Verfügung vom 18. Januar 2019 wur- de dem Kläger eine Nachfrist zur Leistung des Gerichtskostenvorschusses ange- setzt, unter der Androhung, dass bei Säumnis auf die Beschwerde nicht eingetre- ten werde (Urk. 27 S. 2, Dispositiv-Ziffer 1).</w:t>
      </w:r>
    </w:p>
    <w:p>
      <w:r>
        <w:rPr>
          <w:b/>
        </w:rPr>
        <w:t>E. 4</w:t>
      </w:r>
    </w:p>
    <w:p>
      <w:r>
        <w:t>Innert Nachfrist (und bis heute) hat der Kläger den Kostenvorschuss nicht geleistet. Androhungsgemäss ist daher auf die Beschwerde nicht einzutreten (Art. 101 Abs. 3 ZPO).</w:t>
      </w:r>
    </w:p>
    <w:p>
      <w:r>
        <w:rPr>
          <w:b/>
        </w:rPr>
        <w:t>E. 5</w:t>
      </w:r>
    </w:p>
    <w:p>
      <w:r>
        <w:t>Ausgangsgemäss wird im Beschwerdeverfahren der Kläger kosten- pflichtig (Art. 106 Abs. 1 ZPO). Für das Beschwerdeverfahren beträgt der Streit- wert Fr. 16'719.95. Die zweitinstanzliche Entscheidgebühr ist in Anwendung von Art. 48 GebV SchKG in Verbindung mit Art. 61 Abs. 1 GebV SchKG auf Fr. 400.–</w:t>
      </w:r>
    </w:p>
    <w:p>
      <w:r>
        <w:t>- 3 - festzusetzen. Für das Beschwerdeverfahren sind keine Parteientschädigungen zuzusprechen, dem Kläger zufolge seines Unterliegens, dem Beklagten und Be- schwerdegegner (fortan Beklagter) mangels erheblicher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