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RT180208 vom 6. Februar 2019</w:t>
      </w:r>
    </w:p>
    <w:p>
      <w:r>
        <w:t>ZH Obergericht, 2019-02-06, DE</w:t>
      </w:r>
    </w:p>
    <w:p>
      <w:r>
        <w:rPr>
          <w:b/>
        </w:rPr>
        <w:t xml:space="preserve">Quelle: </w:t>
      </w:r>
      <w:r>
        <w:t>https://mcp.opencaselaw.ch/entscheid/zh_obergericht_RT180208</w:t>
      </w:r>
    </w:p>
    <w:p>
      <w:r>
        <w:t>FR: ZH_OBERGERICHT RT180208 du 6 février 2019</w:t>
      </w:r>
    </w:p>
    <w:p>
      <w:r>
        <w:t>IT: ZH_OBERGERICHT RT180208 del 6 febbraio 2019</w:t>
      </w:r>
    </w:p>
    <w:p>
      <w:pPr>
        <w:pStyle w:val="Heading2"/>
      </w:pPr>
      <w:r>
        <w:t>Erwägungen</w:t>
      </w:r>
    </w:p>
    <w:p>
      <w:r>
        <w:rPr>
          <w:b/>
        </w:rPr>
        <w:t>E. 1</w:t>
      </w:r>
    </w:p>
    <w:p>
      <w:r>
        <w:t>Mit Urteil vom 15. November 2018 wies die Vorinstanz das Begehren der Gesuchstellerin und Beschwerdeführerin (fortan Gesuchstellerin) um Erteilung der provisorischen Rechtsöffnung in der Betreibung Nr. ..., Betreibungsamt Zürich 1, Zahlungsbefehl vom 19. September 2018, ab (Urk. 21 S. 7, Dispositiv-Ziffer 1), unter Kosten- und Entschädigungsfolgen zu Lasten der Gesuchstellerin (Urk. 21 S. 7, Dispositiv-Ziffern 2 und 3).</w:t>
      </w:r>
    </w:p>
    <w:p>
      <w:r>
        <w:rPr>
          <w:b/>
        </w:rPr>
        <w:t>E. 2</w:t>
      </w:r>
    </w:p>
    <w:p>
      <w:r>
        <w:t>Das Rechtsöffnungsbegehren der Beschwerdeführerin vom 5. Oktober 2018 (Betrei- bung Nr. …; Betreibungsamt Zürich 1; Zahlungsbefehl vom 19. September 2018) sei gutzuheissen.</w:t>
      </w:r>
    </w:p>
    <w:p>
      <w:r>
        <w:rPr>
          <w:b/>
        </w:rPr>
        <w:t>E. 3</w:t>
      </w:r>
    </w:p>
    <w:p>
      <w:r>
        <w:t>Die Kosten des erstinstanzlichen Verfahrens seien der Beschwerdegegnerin zu aufer- legen und der Beschwerdeführerin eine angemessene Parteientschädigung (zzgl.</w:t>
      </w:r>
    </w:p>
    <w:p>
      <w:r>
        <w:rPr>
          <w:b/>
        </w:rPr>
        <w:t>E. 8</w:t>
      </w:r>
    </w:p>
    <w:p>
      <w:r>
        <w:t>% MwSt.) für ihre Aufwendungen im vorinstanzlichen Verfahren zuzusprechen. 4. Eventualiter: Das Rechtsöffnungsbegehren der Beschwerdeführerin vom 5. Oktober 2018 (Betreibung Nr. …; Betreibungsamt Zürich 1; Zahlungsbefehl vom 19. Septem- ber 2018) sei an die Vorinstanz zur Neubeurteilung zurückzuweisen. 5. Unter Kosten- und Entschädigungsfolgen (zzgl. 8 % MwSt.) zulasten der Beschwer- degegnerin. 6. prozessualer Antrag: Es seien die Akten EB 181431 der Vorinstanz beizuziehen" 3. Mit Verfügung vom 14. Dezember 2018 wurde der Gesuchstellerin Frist angesetzt, um für die Gerichtskosten des Beschwerdeverfahrens einen Kosten- vorschuss von Fr. 750.– zu leisten, unter der Androhung, dass bei Säumnis auch innerhalb einer noch anzusetzenden Nachfrist auf die Beschwerde nicht eingetre- ten werde (Urk. 25 S. 2, Dispositiv-Ziffer 1). Mit Verfügung vom 18. Januar 2019</w:t>
      </w:r>
    </w:p>
    <w:p>
      <w:r>
        <w:t>- 3 - wurde der Gesuchstellerin eine Nachfrist zur Leistung des Gerichtskostenvor- schusses angesetzt, unter der Androhung, dass bei Säumnis auf die Beschwerde nicht eingetreten werde (Urk. 26 S. 2, Dispositiv-Ziffer 1). 4. Innert Nachfrist (und bis heute) hat die Gesuchstellerin den Kostenvor- schuss nicht geleistet. Androhungsgemäss ist daher auf die Beschwerde nicht einzutreten (Art. 101 Abs. 3 ZPO). 5. Ausgangsgemäss wird im Beschwerdeverfahren die Gesuchstellerin kostenpflichtig (Art. 106 Abs. 1 ZPO). Für das Beschwerdeverfahren beträgt der Streitwert Fr. 19'103.50. Die zweitinstanzliche Entscheidgebühr ist in Anwendung von Art. 48 GebV SchKG in Verbindung mit Art. 61 Abs. 1 GebV SchKG auf Fr. 500.– festzusetzen. Für das Beschwerdeverfahren sind keine Parteientschädi- gungen zuzusprechen, der Gesuchstellerin zufolge ihres Unterliegens, der Ge- suchsgegnerin und Beschwerdegegnerin (fortan Gesuchsgegnerin) mangels er- heblicher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