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RT180201 vom 26. Februar 2019</w:t>
      </w:r>
    </w:p>
    <w:p>
      <w:r>
        <w:t>ZH Obergericht, 2019-02-26, DE</w:t>
      </w:r>
    </w:p>
    <w:p>
      <w:r>
        <w:rPr>
          <w:b/>
        </w:rPr>
        <w:t xml:space="preserve">Quelle: </w:t>
      </w:r>
      <w:r>
        <w:t>https://mcp.opencaselaw.ch/entscheid/zh_obergericht_RT180201</w:t>
      </w:r>
    </w:p>
    <w:p>
      <w:r>
        <w:t>FR: ZH_OBERGERICHT RT180201 du 26 février 2019</w:t>
      </w:r>
    </w:p>
    <w:p>
      <w:r>
        <w:t>IT: ZH_OBERGERICHT RT180201 del 26 febbraio 2019</w:t>
      </w:r>
    </w:p>
    <w:p>
      <w:pPr>
        <w:pStyle w:val="Heading2"/>
      </w:pPr>
      <w:r>
        <w:t>Erwägungen</w:t>
      </w:r>
    </w:p>
    <w:p>
      <w:r>
        <w:rPr>
          <w:b/>
        </w:rPr>
        <w:t>E. 29</w:t>
      </w:r>
    </w:p>
    <w:p>
      <w:r>
        <w:t>Juni 2015 mit Hinweis). 3.3. Auf die Beschwerde der Gesuchsgegnerin ist nach dem Gesagten nicht ein- zutreten. Angefügt werden kann, dass Vergleichsgespräche jederzeit ausserge- richtlich geführt werden können. 4. Die Prozesskosten werden der unterliegenden Partei auferlegt. Bei Nichtein- treten gilt die klagende Partei bzw. die Partei, welche das Rechtsmittel erhoben</w:t>
      </w:r>
    </w:p>
    <w:p>
      <w:r>
        <w:t>- 4 - hat, als unterliegend (vgl. Art. 106 Abs. 1 ZPO), weshalb der Gesuchsgegnerin die Gerichtskosten des Beschwerdeverfahrens aufzuerlegen sind. Die Spruchge- bühr ist gestützt auf Art. 48 i.V.m. Art. 61 Abs. 1 GebV SchKG auf Fr. 500.– fest- zusetzen. Mangels wesentlicher Umtriebe ist der Gesuchstellerin für das Be- schwerdeverfahren keine Entschädigung zuzusprechen.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