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RT180194 vom 31. Dezember 2018</w:t>
      </w:r>
    </w:p>
    <w:p>
      <w:r>
        <w:t>ZH Obergericht, 2018-12-31, DE</w:t>
      </w:r>
    </w:p>
    <w:p>
      <w:r>
        <w:rPr>
          <w:b/>
        </w:rPr>
        <w:t xml:space="preserve">Quelle: </w:t>
      </w:r>
      <w:r>
        <w:t>https://mcp.opencaselaw.ch/entscheid/zh_obergericht_RT180194</w:t>
      </w:r>
    </w:p>
    <w:p>
      <w:r>
        <w:t>FR: ZH_OBERGERICHT RT180194 du 31 décembre 2018</w:t>
      </w:r>
    </w:p>
    <w:p>
      <w:r>
        <w:t>IT: ZH_OBERGERICHT RT180194 del 31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zunächst in unbegründeter (Urk. 15) und hernach auf Begehren der Gesuchsgegnerin und Beschwerdeführerin (fortan Gesuchsgegnerin; Urk. 17) in begründeter Fassung ergangenem Urteil vom 21. August 2018 erteilte die Vor- instanz dem Gesuchsteller und Beschwerdegegner (fortan Gesuchsteller) in der Betreibung Nr. 1 des Betreibungsamtes Wetzikon (Zahlungsbefehl vom 4. Mail 2018) definitive Rechtsöffnung für Fr. 3'309.80 nebst Zins zu 5% seit 27. Januar 2018, für die Betreibungskosten sowie für Kosten und Entschädigung gemäss Zif- fern 2 bis 4 des Urteils (Urk. 19 = Urk. 22 S. 8, Dispositiv-Ziffer 1).</w:t>
      </w:r>
    </w:p>
    <w:p>
      <w:r>
        <w:rPr>
          <w:b/>
        </w:rPr>
        <w:t>E. 2</w:t>
      </w:r>
    </w:p>
    <w:p>
      <w:r>
        <w:t>a) Mit Eingabe vom 2. November 2018, hierorts eingegangen am</w:t>
      </w:r>
    </w:p>
    <w:p>
      <w:r>
        <w:rPr>
          <w:b/>
        </w:rPr>
        <w:t>E. 5</w:t>
      </w:r>
    </w:p>
    <w:p>
      <w:r>
        <w:t>Zusammengefasst erweist sich die vorliegende Beschwerde als offen- sichtlich unzulässig, weshalb darauf nicht einzutreten ist. Auf das Einholen einer Beschwerdeantwort des Gesuchstellers kann unter diesen Umständen verzichtet werden (Art. 322 Abs. 1 ZPO).</w:t>
      </w:r>
    </w:p>
    <w:p>
      <w:r>
        <w:rPr>
          <w:b/>
        </w:rPr>
        <w:t>E. 6</w:t>
      </w:r>
    </w:p>
    <w:p>
      <w:r>
        <w:t>Die Entscheidgebühr für das vorliegende Beschwerdeverfahren ist, ausgehend von einem Streitwert von Fr. 3'309.80, in Anwendung von Art. 48 und Art. 61 Abs. 1 GebVO SchKG auf Fr. 300.– festzusetzen.</w:t>
      </w:r>
    </w:p>
    <w:p>
      <w:r>
        <w:rPr>
          <w:b/>
        </w:rPr>
        <w:t>E. 7</w:t>
      </w:r>
    </w:p>
    <w:p>
      <w:r>
        <w:t>Ausgangsgemäss wird die Gesuchsgegnerin im Beschwerdeverfahren kostenpflichtig (Art. 106 Abs. 1 ZPO). Für das Beschwerdeverfahren sind sodann keine Parteientschädigungen zuzusprechen, der Gesuchsgegnerin infolge ihres Unterliegens, dem Gesuchsteller mangels erheblicher Umtriebe.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