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RT180192 vom 19. März 2019</w:t>
      </w:r>
    </w:p>
    <w:p>
      <w:r>
        <w:t>ZH Obergericht, 2019-03-19, DE</w:t>
      </w:r>
    </w:p>
    <w:p>
      <w:r>
        <w:rPr>
          <w:b/>
        </w:rPr>
        <w:t xml:space="preserve">Quelle: </w:t>
      </w:r>
      <w:r>
        <w:t>https://mcp.opencaselaw.ch/entscheid/zh_obergericht_RT180192</w:t>
      </w:r>
    </w:p>
    <w:p>
      <w:r>
        <w:t>FR: ZH_OBERGERICHT RT180192 du 19 mars 2019</w:t>
      </w:r>
    </w:p>
    <w:p>
      <w:r>
        <w:t>IT: ZH_OBERGERICHT RT180192 del 19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Gesuchstellerin und Beschwerdegegnerin (fortan Gesuchstellerin) ist ei- ne deutsche Bank mit Sitz in C._____. Der Gesuchsgegner und Beschwerdefüh- rer (fortan Gesuchsgegner) ist eine Privatperson mit Wohnsitz in Zürich. Am</w:t>
      </w:r>
    </w:p>
    <w:p>
      <w:r>
        <w:rPr>
          <w:b/>
        </w:rPr>
        <w:t>E. 4</w:t>
      </w:r>
    </w:p>
    <w:p>
      <w:r>
        <w:t>Dezember 1997 war bei Notar D._____ in E._____ (…) eine Grundschuld mit Übernahme der persönlichen Haftung und Unterwerfung unter die sofortige Zwangsvollstreckung zugunsten der F._____ AG als Rechtsvorgängerin der Ge- suchstellerin über DM 210'000.– zuzüglich 18 % Zins bestellt worden. Die Grund- schuldbestellung betraf den Kauf eines Miteigentumsanteil an einer Liegenschaft in G._____ (…). Der Gesuchsgegner war vertreten durch die Notariatssekretärin H._____ (Urk. 5/1, 5/2). Mit Genehmigungserklärung vom 6. November 1997 ge- nehmigte der Gesuchsgegner sämtliche Erklärungen, welche in der Grundschuld- bestellungsurkunde durch die bevollmächtigte H._____ abgegeben wurden (Urk. 5/2). Im Jahr 2005 wurde das Sicherungsobjekt zwangsverwertet und es wurden EUR 24'421.05 gelöst (Urk. 5/2 Ende). Am 13. Juli 2016 wurde dem Ge- suchsgegner rechtshilfeweise eine beglaubigte Abschrift der vollstreckbaren Aus- fertigung der Grundschuldbestellungsurkunde zugestellt (Urk. 5/4). 2. Mit Schuldanerkennung vom 11. Januar 2018 anerkannte der Gesuchsgeg- ner in einer früheren Betreibung die geltend gemachte Forderung in der Höhe von Fr. 155'978.– zuzüglich Zins zu 1,67 % seit dem 25.2.2016 auf Fr. 104'555.–. Gleichzeitig wurden Ratenzahlungen vereinbart (Urk. 5/6). Der Gesuchsgegner leistete von Januar 2018 bis Mai 2018 Anzahlungen von insgesamt Fr. 5'400.–, welche auf die offene Zinsforderung angerechnet wurden (Urk. 1 S. 6). Nach Ab- lauf der Gültigkeit des Zahlungsbefehls verweigerte der Gesuchsgegner weitere Zahlungen. 3. Mit Zahlungsbefehl Nr. … des Betreibungsamtes Zürich … vom 28. Juni 2018 betrieb die Gesuchstellerin den Gesuchsgegner für Fr. 104'555.– und für Fr. 46'023.–. Der Gesuchsgegner erhob Rechtsvorschlag (Urk 5/11). Mit</w:t>
      </w:r>
    </w:p>
    <w:p>
      <w:r>
        <w:t>- 3 - Eingabe vom 13. Juli 2018 stellte die Gesuchstellerin bei der Vorinstanz das Rechtsbegehren, es sei erstens die Grundschuldbestellungsurkunde vom 4. De- zember 1997 als in der Schweiz vollstreckbar zu erklären, es sei zweitens definiti- ve Rechtsöffnung über Fr. 104'555.– zuzüglich 1,67 % Zins seit 25.2.2016 und über Fr. 40'623.– offene Zinsen zuzüglich Betreibungskosten zu erteilen, eventua- liter sei der Gesuchstellerin provisorische Rechtsöffnung zu gewähren (Urk. 1 S. 2). Die Vorinstanz setzte die Verhandlung auf den 5. September 2018 an und am 22. Oktober 2018 fällte sie den und fällte den folgenden Entscheid: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