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RT180189 vom 31. Januar 2019</w:t>
      </w:r>
    </w:p>
    <w:p>
      <w:r>
        <w:t>ZH Obergericht, 2019-01-31, DE</w:t>
      </w:r>
    </w:p>
    <w:p>
      <w:r>
        <w:rPr>
          <w:b/>
        </w:rPr>
        <w:t xml:space="preserve">Quelle: </w:t>
      </w:r>
      <w:r>
        <w:t>https://mcp.opencaselaw.ch/entscheid/zh_obergericht_RT180189</w:t>
      </w:r>
    </w:p>
    <w:p>
      <w:r>
        <w:t>FR: ZH_OBERGERICHT RT180189 du 31 janvier 2019</w:t>
      </w:r>
    </w:p>
    <w:p>
      <w:r>
        <w:t>IT: ZH_OBERGERICHT RT180189 del 31 gennaio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September 2018 (Urk. 15) nicht fingiert werden. Der angefochtene Entscheid widerspricht damit ständiger bundesgerichtlicher Rechtsprechung. Indem die Vor- instanz nach der erfolglosen einmaligen Zustellung der ersten prozessleitenden Verfügung deren Zustellung fingierte, wendete sie das Recht (Art. 138 Abs. 3 lit. a ZPO) unrichtig an (Art. 320 lit. a ZPO). Mangels rechtsgenügender Zustellung der Verfügung vom 15. August 2018 wurde dem Beklagten vor Fällung des Urteils weder das klägerische Rechtsöff- nungsbegehren zur Kenntnis gebracht noch Gelegenheit zur Stellungnahme dazu gegeben (Urk. 13). Darin liegt eine Verletzung des rechtlichen Gehörs (Art. 29 Abs. 2 BV, Art. 53 Abs. 1 ZPO; Art. 253 ZPO) bzw. des Rechts auf ein faires Ver- fahren (Art. 6 Ziff. 1 EMRK), welche umso schwerer wiegt, als der Gegenpartei vorab zweimal Gelegenheit zur Verbesserung ihres Gesuch gegeben worden war (Urk. 5+6; Urk. 9).</w:t>
      </w:r>
    </w:p>
    <w:p>
      <w:r>
        <w:t>- 7 - Dieser offensichtliche und als solcher auch ohne ausdrückliche Rüge in der Beschwerdeschrift beachtliche Mangel (vgl. vorstehend Ziff. 2.) führt zur Aufhe- bung des angefochtenen Entscheids. 3.4. Die Vervollständigung des Sachverhalts kann aufgrund des umfassenden Novenverbots im Beschwerdeverfahren nicht nachgeholt werden (Art. 326 Abs. 1 ZPO; vgl. vorstehend E. 2 und 3.2.). Eine Heilung der Gehörsverletzung fällt damit ausser Betracht, weshalb das Verfahren nicht zur Spruchreife geführt werden kann. Es wird Aufgabe der Vorinstanz sein, die rechtsgenügende Zustel- lung des klägerischen Rechtsöffnungsgesuchs an den Beklagten mit Fristanset- zung zur Stellungnahme nachzuholen und hernach über das Rechtsöffnungsge- such gestützt auf die tatsächlichen Vorbringen der Parteien neu zu entscheiden. Die Sache ist deshalb zur Fortsetzung des Verfahrens und zu neuer Entschei- dung im Sinne der Erwägungen an die Vorinstanz zurückzuweisen (Art. 327 Abs. 3 lit. a ZPO).</w:t>
      </w:r>
    </w:p>
    <w:p>
      <w:r>
        <w:rPr>
          <w:b/>
        </w:rPr>
        <w:t>E. 4.1</w:t>
      </w:r>
    </w:p>
    <w:p>
      <w:r>
        <w:t>Der Streitwert des Beschwerdeverfahrens beträgt Fr. 17'719.50. Die zweitin- stanzliche Entscheidgebühr ist in Anwendung von Art. 48 i.V.m. Art. 61 Abs. 1 GebV SchKG auf Fr. 750.– festzusetzen.</w:t>
      </w:r>
    </w:p>
    <w:p>
      <w:r>
        <w:rPr>
          <w:b/>
        </w:rPr>
        <w:t>E. 4.2</w:t>
      </w:r>
    </w:p>
    <w:p>
      <w:r>
        <w:t>Die Verteilung der zweitinstanzlichen Gerichtskosten sowie der Entscheid über eine allfällige Parteientschädigung bleibt dem neuen Entscheid der Vorin- stanz vorbehalten (Art. 104 Abs. 4 ZPO; KUKO ZPO-Schmid, Art. 104 N 7; BSK ZPO-Rüegg/Rüegg, Art. 104 N 7; BK ZPO I-Sterchi, Art. 104 N 16). Dies gilt auch für die Verteilung der Kosten des erstinstanzlichen Verfahrens, welche nach Massgabe des Verfahrensausgangs von der Vorinstanz neu zu verlegen sind.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