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RT180186 vom 31. Oktober 2018</w:t>
      </w:r>
    </w:p>
    <w:p>
      <w:r>
        <w:t>ZH Obergericht, 2018-10-31, DE</w:t>
      </w:r>
    </w:p>
    <w:p>
      <w:r>
        <w:rPr>
          <w:b/>
        </w:rPr>
        <w:t xml:space="preserve">Quelle: </w:t>
      </w:r>
      <w:r>
        <w:t>https://mcp.opencaselaw.ch/entscheid/zh_obergericht_RT180186</w:t>
      </w:r>
    </w:p>
    <w:p>
      <w:r>
        <w:t>FR: ZH_OBERGERICHT RT180186 du 31 octobre 2018</w:t>
      </w:r>
    </w:p>
    <w:p>
      <w:r>
        <w:t>IT: ZH_OBERGERICHT RT180186 del 31 ottobre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Urteil vom 28. Juni 2018 erteilte die Vorinstanz der Gesuchstellerin und Beschwerdegegnerin (fortan Gesuchstellerin) in der Betreibung Nr. … des Betreibungsamtes Küsnacht-Zollikon-Zumikon (Zahlungsbefehl vom 15. Septem- ber 2017) definitive Rechtsöffnung für Fr. 1'741.70 nebst Zins zu 5% seit 16. September 2017 (Urk. 14 S. 7, Dispositiv-Ziffer 1). Das Urteil erging zunächst in unbegründeter Fassung (Urk. 8) und wurde hernach auf Begehren der Ge- suchsgegnerin und Beschwerdeführerin (fortan Gesuchsgegnerin, vgl. Urk. 10) begründet (Urk. 11 = Urk. 14).</w:t>
      </w:r>
    </w:p>
    <w:p>
      <w:r>
        <w:rPr>
          <w:b/>
        </w:rPr>
        <w:t>E. 2</w:t>
      </w:r>
    </w:p>
    <w:p>
      <w:r>
        <w:t>Unter Kosten- und Entschädigungsfolgen zu Gunsten der Gesuchsgegnerin".</w:t>
      </w:r>
    </w:p>
    <w:p>
      <w:r>
        <w:rPr>
          <w:b/>
        </w:rPr>
        <w:t>E. 3</w:t>
      </w:r>
    </w:p>
    <w:p>
      <w:r>
        <w:t>Die vorinstanzlichen Akten wurden beigezogen (Urk. 1-12). Da sich die Beschwerde sogleich als offensichtlich unzulässig erweist, kann auf das Einholen einer Beschwerdeantwort verzichtet werden (Art. 322 Abs. 1 ZPO).</w:t>
      </w:r>
    </w:p>
    <w:p>
      <w:r>
        <w:rPr>
          <w:b/>
        </w:rPr>
        <w:t>E. 4</w:t>
      </w:r>
    </w:p>
    <w:p>
      <w:r>
        <w:t>a) Mit der Beschwerde können unrichtige Rechtsanwendung und of- fensichtlich unrichtige Feststellung des Sachverhalts geltend gemacht werden (Art. 320 ZPO). Die Beschwerde muss begründet eingereicht werden (Art. 321 Abs. 1 ZPO). In der Beschwerdeschrift muss dargelegt werden, weshalb der an- gefochtene Entscheid unrichtig sein soll (unrichtige Rechtsanwendung und/oder offensichtlich unrichtige Feststellung des Sachverhalts; vgl. Art. 320 ZPO). Fehlt eine Begründung, das heisst werden keine Beanstandungen erhoben, so ist auf die Beschwerde nicht einzutreten (BGer 5A_205/2015 vom 22. Oktober 2015, E. 5.2. mit Hinweisen).</w:t>
      </w:r>
    </w:p>
    <w:p>
      <w:r>
        <w:t>- 3 - b) Die Gesuchsgegnerin bringt in ihrer Beschwerdeschrift unter der Über- schrift "Begründung" einzig vor, da sich ihr Rechtsberater wieder im Ausland be- finde, bitte sie darum, die Darstellung des Sachverhalts und eine substanzielle Begründung in den nächsten Tagen nachreichen zu können (Urk. 13 S. 2). Wie der Gesuchsgegnerin bereits im Verfahren RT180083-O mitgeteilt wur- de, ist die Beschwerdefrist eine gesetzliche Frist. Deren Dauer wird im Gesetz selbst festgesetzt (im summarischen Verfahren 10 Tage; vgl. Art. 321 Abs. 2 in Verbindung mit Art. 251 lit. a ZPO). Gemäss ausdrücklicher gesetzlicher Rege- lung ist damit eine Erstreckung (Verlängerung) der Beschwerdefrist nicht möglich (Art. 144 Abs. 1 ZPO). Das sinngemässe Fristerstreckungsgesuch der Gesuchs- gegnerin ist daher abzuweisen. c) Im Übrigen enthält die Beschwerde keinerlei Beanstandungen der vor- instanzlichen Erwägungen; sie ist vielmehr gänzlich unbegründet geblieben. Auf die Beschwerde der Gesuchsgegnerin ist daher nicht einzutreten.</w:t>
      </w:r>
    </w:p>
    <w:p>
      <w:r>
        <w:rPr>
          <w:b/>
        </w:rPr>
        <w:t>E. 5</w:t>
      </w:r>
    </w:p>
    <w:p>
      <w:r>
        <w:t>Für das Beschwerdeverfahren beträgt der Streitwert Fr. 1'741.70. Die zweitinstanzliche Entscheidgebühr ist in Anwendung von Art. 48 GebV SchKG in Verbindung mit Art. 61 Abs. 1 GebV SchKG auf Fr. 150.– festzusetzen. Die Ge- richtskosten des Beschwerdeverfahrens sind ausgangsgemäss der Gesuchsgeg- nerin aufzuerlegen (Art. 106 Abs. 1 ZPO). Für das Beschwerdeverfahren hat die Gesuchsgegnerin zufolge ihres Unterliegens keinen Anspruch auf eine Entschä- digung; der Gesuchstellerin erwuchs kein erheblicher Aufwand. Demgemäss sind für das Beschwerdeverfahren keine Parteientschädigungen zuzusprechen (Art. 95 Abs. 3, Art. 106 Abs. 1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