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RT180162 vom 2. November 2018</w:t>
      </w:r>
    </w:p>
    <w:p>
      <w:r>
        <w:t>ZH Obergericht, 2018-11-02, DE</w:t>
      </w:r>
    </w:p>
    <w:p>
      <w:r>
        <w:rPr>
          <w:b/>
        </w:rPr>
        <w:t xml:space="preserve">Quelle: </w:t>
      </w:r>
      <w:r>
        <w:t>https://mcp.opencaselaw.ch/entscheid/zh_obergericht_RT180162</w:t>
      </w:r>
    </w:p>
    <w:p>
      <w:r>
        <w:t>FR: ZH_OBERGERICHT RT180162 du 2 novembre 2018</w:t>
      </w:r>
    </w:p>
    <w:p>
      <w:r>
        <w:t>IT: ZH_OBERGERICHT RT180162 del 2 novembre 2018</w:t>
      </w:r>
    </w:p>
    <w:p>
      <w:pPr>
        <w:pStyle w:val="Heading2"/>
      </w:pPr>
      <w:r>
        <w:t>Erwägungen</w:t>
      </w:r>
    </w:p>
    <w:p>
      <w:r>
        <w:rPr>
          <w:b/>
        </w:rPr>
        <w:t>E. 2</w:t>
      </w:r>
    </w:p>
    <w:p>
      <w:r>
        <w:t>Die Vorinstanz kam zum Schluss, dass weder die eingereichten vier Rechnungen noch die dazugehörigen Mahnungen einen genügenden provisori- schen Rechtsöffnungstitel darstellten, da aus keiner der eingereichten Unterlagen der Wille der Gesuchsgegnerin hervorgehe, der Gesuchstellerin den jeweils ge- forderten Betrag bei Fälligkeit ohne Vorbehalte und Bedingungen zu bezahlen. Entsprechend sei das Rechtsöffnungsbegehren in Ermangelung eines gültigen Rechtsöffnungstitels gemäss Art. 82 Abs. 1 SchKG abzuweisen (Urk. 7 S. 3). 3.1.1 Mit der Beschwerde können unrichtige Rechtsanwendung und offen- sichtlich unrichtige Feststellung des Sachverhalts geltend gemacht werden (Art. 320 ZPO). Dabei hat sich die beschwerdeführende Partei in ihrer schriftli- chen Beschwerdebegründung (im Sinne einer Eintretensvoraussetzung) inhaltlich mit den Erwägungen der Vorinstanz auseinanderzusetzen und mittels Verweisun- gen auf konkrete Stellen in den vorinstanzlichen Akten hinreichend genau aufzu- zeigen, inwiefern der angefochtene Entscheid als fehlerhaft zu betrachten ist bzw.</w:t>
      </w:r>
    </w:p>
    <w:p>
      <w:r>
        <w:t>- 3 - an einem der genannten Mängel leidet. Die blosse Verweisung auf die Ausfüh- rungen vor Vorinstanz oder deren blosse Wiederholung genügen nicht (Art. 321 Abs. 1 ZPO und dazu BGer 5A_247/2013 vom 15. Oktober 2013, E. 3; BGer 5D_65/2014 vom 9. September 2014, E. 5.4.1; BGer 5A_488/2015 vom 21. Au- gust 2015, E. 3.2, je m.Hinw. auf BGE 138 III 374 E. 4.3.1 S. 375). Was in der Beschwerde (oder in der Beschwerdeantwort) nicht oder nicht in einer den ge- setzlichen Begründungsanforderungen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 rung (BK ZPO I-Hurni, Art. 57 N 21 und N 39 ff.). 3.1.2 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BGer 5A_405/2011 vom 27. September 2011, E. 4.5.3 m.w.Hinw.; ZK ZPO- Freiburghaus/Afheldt, Art. 326 N 4; vgl. aber immerhin auch BGE 139 III 466 E. 3.4 S. 471 und BGer 4A_51/2015 vom 20. April 2015, E. 4.5.1). 3.2 Soweit die nun im Beschwerdeverfahren erstmals vorgebrachten Be- hauptungen der Gesuchstellerin über das bereits vor Vorinstanz Ausgeführte hin- ausgehen (vgl. Urk. 1/2 S. 1 f. mit Urk. 6 S. 1 f.), handelt es sich um Noven, wel- che – wie in Erwägung 3.1.2 hiervor ausgeführt – unzulässig und damit unbeacht- lich sind. Entsprechend ist darauf nicht weiter einzugehen. Ebenso unzulässig sind die erstmals im Beschwerdeverfahren neu eingereichten Unterlagen (Urk. 8/1 und Urk. 8/3/1-7). Diese Unterlagen wären vor Vorinstanz einzureichen gewesen, vermöchten aber dem Erfordernis einer durch Unterschrift bekräftigten Schuldan- erkennung (Art. 82 Abs. 1 SchKG) auch nicht zu genügen. 3.3 Im Übrigen setzt sich die Gesuchstellerin nicht mit den zutreffenden Erwägungen der Vorinstanz auseinander, wonach aus den eingereichten Unterla-</w:t>
      </w:r>
    </w:p>
    <w:p>
      <w:r>
        <w:t>- 4 - gen der Zahlungswille der Gesuchsgegnerin für die geforderten Beträge nicht hervorgehe, was aber Voraussetzung für einen gültigen provisorischen Rechtsöff- nungstitel sei. Dementsprechend genügt die Beschwerdebegründung den gesetz- lichen Anforderungen nicht (s. Erwägung 3.1.1 hiervor). 3.4 Damit erweist sich die Beschwerde als offensichtlich unzulässig bzw. unbegründet, weshalb auf das Einholen einer Beschwerdeantwort verzichtet wer- den kann (Art. 322 Abs. 1 ZPO). Auf die Beschwerde ist nicht einzutreten. 4.1 Die Entscheidgebühr für das Beschwerdeverfahren ist in Anwendung von Art. 48 i.V.m. Art. 61 Abs. 1 GebV SchKG (vgl. ZR 110/2011 Nr. 28) auf Fr. 500.– festzusetzen. Die Gerichtskosten sind ausgangsgemäss der Gesuch- stellerin aufzuerlegen (Art. 106 Abs. 1 ZPO). 4.2 Der Gesuchsgegnerin ist mangels relevanter Umtriebe für das Be- 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