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RT180153 vom 5. Februar 2019</w:t>
      </w:r>
    </w:p>
    <w:p>
      <w:r>
        <w:t>ZH Obergericht, 2019-02-05, DE</w:t>
      </w:r>
    </w:p>
    <w:p>
      <w:r>
        <w:rPr>
          <w:b/>
        </w:rPr>
        <w:t xml:space="preserve">Quelle: </w:t>
      </w:r>
      <w:r>
        <w:t>https://mcp.opencaselaw.ch/entscheid/zh_obergericht_RT180153</w:t>
      </w:r>
    </w:p>
    <w:p>
      <w:r>
        <w:t>FR: ZH_OBERGERICHT RT180153 du 5 février 2019</w:t>
      </w:r>
    </w:p>
    <w:p>
      <w:r>
        <w:t>IT: ZH_OBERGERICHT RT180153 del 5 febbraio 2019</w:t>
      </w:r>
    </w:p>
    <w:p>
      <w:pPr>
        <w:pStyle w:val="Heading2"/>
      </w:pPr>
      <w:r>
        <w:t>Erwägungen</w:t>
      </w:r>
    </w:p>
    <w:p>
      <w:r>
        <w:rPr>
          <w:b/>
        </w:rPr>
        <w:t>E. 1</w:t>
      </w:r>
    </w:p>
    <w:p>
      <w:r>
        <w:t>a) Mit Urteil vom 24. August 2018 erteilte das Bezirksgericht Winterthur (Vorinstanz) der Gesuchstellerin in der Betreibung Nr. … des Betreibungsamtes Winterthur-Wülflingen (Zahlungsbefehl vom 4. April 2018) - gestützt auf einen Pfändungsverlustschein des Betreibungsamtes Bezirk Frauenfeld vom 11. Juli 2017 - provisorische Rechtsöffnung für Fr. 428.85. Im Mehrbetrag wurde auf das Begehren nicht eingetreten (Zins) bzw. dieses abgewiesen (Forderung). Die Kos- ten wurden der Gesuchstellerin auferlegt. Parteientschädigungen wurden keine zugesprochen (Urk. 12 = Urk. 15). b) Hiergegen hat die Gesuchstellerin am 3. September 2018 fristgerecht (Urk. 13) Beschwerde erhoben (Urk. 14 und Urk. 18). Mit Verfügung vom 23. No- vember 2018 wurde der Gesuchstellerin Frist angesetzt, um die Beschwerde- schrift rechtsgültig unterzeichnen zu lassen und einen Kostenvorschuss zu leisten (Urk. 20). Beiden Aufforderungen kam die Gesuchstellerin fristgerecht nach (Urk. 21-22, Urk. 24). c) Die vorinstanzlichen Akten wurden beigezogen. Da sich die Beschwer- de sogleich als unbegründet bzw. unzulässig erweist, kann auf weitere Prozess- 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15 S. 7). Aus diesen Anträgen muss eindeutig hervorgehen, in wel- chem Umfang der vorinstanzliche Entscheid angefochten wird und wie der Ent- scheid stattdessen zu lauten hätte. Auf Geldzahlungen gerichtete Anträge müs- sen beziffert sein. Ergeben sich auch unter Einbezug der Begründung (allenfalls in Verbindung mit dem angefochtenen Entscheid) keine genügenden Anträge, ist auf die Beschwerde nicht einzutreten, ohne dass eine Nachfrist anzusetzen wäre (vgl. zum Ganzen BGE 137 III 617).</w:t>
      </w:r>
    </w:p>
    <w:p>
      <w:r>
        <w:t>- 3 - b) Die Beschwerdeschrift der Gesuchstellerin enthält keine expliziten An- träge. Die Begründung, wonach die vom Gesuchsgegner vorgebrachten Einreden nicht akzeptiert werden könnten, lässt vermuten, dass die Gesuchstellerin sinn- gemäss die vollumfängliche Gutheissung ihres Rechtsöffnungsbegehrens bean- tragen will. Ob ein genügender Antrag vorliegt, kann indessen offengelassen wer- den, da auf die Beschwerde schon aus einem anderen Grund nicht eingetreten werden kann.</w:t>
      </w:r>
    </w:p>
    <w:p>
      <w:r>
        <w:rPr>
          <w:b/>
        </w:rPr>
        <w:t>E. 3</w:t>
      </w:r>
    </w:p>
    <w:p>
      <w:r>
        <w:t>a) Gemäss Art. 326 Abs. 1 ZPO sind im Beschwerdeverfahren unter an- 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 burghaus/Ahfeldt, in: Sutter-Somm/Hasenböhler/Leuenberger, ZPO-Komm., Art. 326 N 3 f.). b) Die Vorinstanz hat zusammengefasst erwogen (Urk. 15 S. 3 ff.), der Pfändungsverlustschein des Betreibungsamtes Frauenfeld vom 11. Juli 2017, der einen ungedeckt gebliebenen Betrag von Fr. 5'632.45 ausweise, gelte gemäss Art. 149 Abs. 2 SchKG als Schuldanerkennung im Sinne von Art. 82 Abs. 1 SchKG und berechtige zur provisorischen Rechtsöffnung, sofern der Betriebene nicht Einwendungen glaubhaft mache, welche die Schuldanerkennung entkräfte- ten. Die Einrede einer verrechnungsweisen Tilgung mit einer Gegenforderung sei nicht zu hören, da der Gesuchsgegner keinerlei Unterlagen ins Recht gereicht habe, welche seine Ausführungen belegen würden. Hingegen bestreite der Ge- suchsgegner die Forderung im Umfang von Fr. 5'203.60. Dem Schuldner stünden nach Ausstellung des Verlustscheins weiterhin alle Einreden aus dem Grundver- hältnis zu, welche er im Rechtsöffnungsverfahren glaubhaft machen könne. Er sei dabei nicht auf Einreden beschränkt, welche er in der ersten Betreibung noch nicht gekannt habe. Es könne somit für die Gesuchstellerin nützlich sein, die das Grundverhältnis betreffenden Urkunden vorzulegen, wenn sich die vom Gesuchs- gegner erhobenen Einwendungen gegen das Grundverhältnis richteten. Liege nur der Verlustschein vor, könne eine Einrede gegen das Grundverhältnis nicht auf ih-</w:t>
      </w:r>
    </w:p>
    <w:p>
      <w:r>
        <w:t>- 4 - re Glaubhaftigkeit überprüft werden. Das Begehren der Gesuchstellerin könne in der Folge illiquid werden, was zur Abweisung des Rechtsöffnungsbegehrens füh- re. Die Gesuchstellerin habe keine Stellung zur Einrede des Gesuchgegners ge- nommen und es unterlassen, Unterlagen zum Grundverhältnis nachzureichen. Deshalb sei es nicht möglich zu prüfen, ob tatsächlich Verzugszins im Umfang von Fr. 2'203.60 für den Zeitraum vom 1. Oktober 2010 bis 31. Dezember 2012 sowie Wiederherstellungskosten von Fr. 6'000.– (welche der Gesuchsgegner im Umfang von Fr. 3'000.– bestreitet) geschuldet seien. Entsprechend könne die Glaubhaftigkeit der Einrede des Gesuchsgegners keiner Überprüfung unterzogen werden, weshalb das Begehren der Gesuchstellerin im Umfang von Fr. 5'203.60 mangels Liquidität abzuweisen sei. c) Die Gesuchstellerin hat sich im vorinstanzlichen Verfahren nicht zur Ein- gabe des Gesuchsgegners geäussert. Sie reichte trotz Ansetzung einer entspre- chenden Frist keine Stellungnahme ein (Urk. 10 und 11). Erstmals im Beschwer- deverfahren bestreitet sie nun die Einwendungen des Gesuchsgegners und macht unter Vorlage eines Strafbefehls der Staatsanwaltschaft Frauenfeld vom 22. April 2013 insbesondere geltend, der Gesuchsgegner habe im Strafverfahren die Forderungssumme gemäss der vorgelegten Auflistung vollumfänglich aner- kannt und keinerlei Gegenforderung gestellt. Anlässlich der Betreibung im Jahre 2014 habe der Gesuchsgegner keine Einsprachen eingelegt. Durch den zweima- ligen Wohnortswechsel des Gesuchsgegners seien ihr ferner zusätzliche Aufwen- dungen und Kosten entstanden, welche dem Gesuchsgegner jedoch nicht belas- tet worden seien (Urk. 14 S. 1). Sämtliche diese Vorbringen sind im Sinne von Art. 326 Abs.1 ZPO als verspätet zu betrachten und können daher nicht mehr be- rücksichtigt werden. Dasselbe gilt für den erstmals im Beschwerdeverfahren ein- gereichten Strafbefehl der Staatsanwaltschaft Frauenfeld (Urk. 17/2).</w:t>
      </w:r>
    </w:p>
    <w:p>
      <w:r>
        <w:rPr>
          <w:b/>
        </w:rPr>
        <w:t>E. 4</w:t>
      </w:r>
    </w:p>
    <w:p>
      <w:r>
        <w:t>Im Übrigen setzt sich die Gesuchstellerin im Beschwerdeverfahren mit den Erwägungen des vorinstanzlichen Urteils inhaltlich nicht auseinander. Auf die Be- schwerde ist daher nicht einzutreten.</w:t>
      </w:r>
    </w:p>
    <w:p>
      <w:r>
        <w:t>- 5 -</w:t>
      </w:r>
    </w:p>
    <w:p>
      <w:r>
        <w:rPr>
          <w:b/>
        </w:rPr>
        <w:t>E. 5</w:t>
      </w:r>
    </w:p>
    <w:p>
      <w:r>
        <w:t>Die Prozesskosten werden der unterliegenden Partei auferlegt. Bei Nichtein- treten gilt die klagende Partei bzw. die Partei, welche das Rechtsmittel erhoben hat, als unterliegend (vgl. Art. 106 Abs. 1 ZPO), weshalb der Gesuchstellerin die Gerichtskosten des Beschwerdeverfahrens aufzuerlegen sind. Die Spruchgebühr ist gestützt auf Art. 48 i.V.m. Art. 61 Abs. 1 GebV SchKG auf Fr. 300.– festzuset- zen. Mangels wesentlicher Umtriebe ist dem Gesuchsgegner für das Beschwer- 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