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RT180144 vom 3. Oktober 2018</w:t>
      </w:r>
    </w:p>
    <w:p>
      <w:r>
        <w:t>ZH Obergericht, 2018-10-03, DE</w:t>
      </w:r>
    </w:p>
    <w:p>
      <w:r>
        <w:rPr>
          <w:b/>
        </w:rPr>
        <w:t xml:space="preserve">Quelle: </w:t>
      </w:r>
      <w:r>
        <w:t>https://mcp.opencaselaw.ch/entscheid/zh_obergericht_RT180144</w:t>
      </w:r>
    </w:p>
    <w:p>
      <w:r>
        <w:t>FR: ZH_OBERGERICHT RT180144 du 3 octobre 2018</w:t>
      </w:r>
    </w:p>
    <w:p>
      <w:r>
        <w:t>IT: ZH_OBERGERICHT RT180144 del 3 ottobre 2018</w:t>
      </w:r>
    </w:p>
    <w:p>
      <w:pPr>
        <w:pStyle w:val="Heading2"/>
      </w:pPr>
      <w:r>
        <w:t>Erwägungen</w:t>
      </w:r>
    </w:p>
    <w:p>
      <w:r>
        <w:rPr>
          <w:b/>
        </w:rPr>
        <w:t>E. 9</w:t>
      </w:r>
    </w:p>
    <w:p>
      <w:r>
        <w:t>% seit 24. Februar 2017 sowie für Fr. 85'283.33, Betreibungskosten sowie Kosten und Entschädigung gemäss Ziff. 2 bis 5 ihres Entscheids (Urk. 23 S. 10). b) Dagegen erhob die Gesuchsgegnerin und Beschwerdeführerin (fortan Gesuchsgegnerin) mit Eingabe vom 16. August 2018 Beschwerde, mit welcher sie die Aufhebung des angefochtenen Urteils und Abweisung des Rechtsöffnungsbegehrens unter Kosten- und Entschädigungsfolgen zu Lasten des Gesuchstellers verlangt (Urk. 22 S. 2). Gleichzeitig stellte sie den prozessualen Antrag, ihrer Beschwerde sei die aufschiebende Wirkung zu erteilen (Urk. 22 S. 2, prozessualer Antrag Ziff. 1). 2. Mit Verfügung vom 20. August 2018 wurde der Antrag um Erteilung der aufschiebenden Wirkung abgewiesen und der Gesuchsgegnerin eine Frist von zehn Tagen angesetzt, um für die Gerichtskosten des Beschwerdeverfahrens einen Vorschuss von Fr. 3'000.– zu leisten (Urk. 28). Innert Frist ersuchte die Gesuchsgegnerin um Erstreckung der Frist um zehn Tage (Urk. 29), welchem Gesuch mit Verfügung vom 31. August 2018 stattgegeben wurde (Urk. 29 S. 2). Da der Kostenvorschuss auch innert erstreckter Frist nicht geleistet wurde, wurde der Gesuchsgegnerin mit Verfügung vom 17. September 2018 eine einmalige Nachfrist von fünf Tagen angesetzt, um den ihr mit Verfügung vom 20. August 2018 auferlegten Kostenvorschuss von Fr. 3'000.– zu leisten, unter der Androhung, dass ansonsten auf ihre Beschwerde nicht eingetreten werde (Urk. 30 S. 2, Dispositiv-Ziffer 1). 3. Die Gesuchsgegnerin hat den ihr auferlegten Kostenvorschuss auch innert der mit Verfügung vom 17. September 2018 angesetzten Nachfrist nicht</w:t>
      </w:r>
    </w:p>
    <w:p>
      <w:r>
        <w:t>- 3 - geleistet. Damit ist auf die Beschwerde androhungsgemäss nicht einzutreten (Art. 101 Abs. 3 ZPO, Art. 59 Abs. 1 und 2 lit. f ZPO e contrario). 4. Der Streitwert des Beschwerdeverfahrens beträgt Fr. 1'100'000.–. Die zweitinstanzliche Entscheidgebühr ist in Anwendung von Art. 48 in Verbindung mit Art. 61 Abs. 1 GebV SchKG auf Fr. 1'500.– festzusetzen und ausgangsgemäss der Gesuchsgegnerin aufzuerlegen (Art. 106 Abs. 1 ZPO). Parteientschädigungen sind nicht zuzusprechen: Dem Gesuchsteller sind im Beschwerdeverfahren keine entschädigungspflichtigen Kosten entstanden (Art. 95 Abs. 3 ZPO), die Gesuchsgegnerin hat aufgrund ihres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