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RT180139 vom 20. September 2018</w:t>
      </w:r>
    </w:p>
    <w:p>
      <w:r>
        <w:t>ZH Obergericht, 2018-09-20, DE</w:t>
      </w:r>
    </w:p>
    <w:p>
      <w:r>
        <w:rPr>
          <w:b/>
        </w:rPr>
        <w:t xml:space="preserve">Quelle: </w:t>
      </w:r>
      <w:r>
        <w:t>https://mcp.opencaselaw.ch/entscheid/zh_obergericht_RT180139</w:t>
      </w:r>
    </w:p>
    <w:p>
      <w:r>
        <w:t>FR: ZH_OBERGERICHT RT180139 du 20 septembre 2018</w:t>
      </w:r>
    </w:p>
    <w:p>
      <w:r>
        <w:t>IT: ZH_OBERGERICHT RT180139 del 20 settembre 2018</w:t>
      </w:r>
    </w:p>
    <w:p>
      <w:pPr>
        <w:pStyle w:val="Heading2"/>
      </w:pPr>
      <w:r>
        <w:t>Erwägungen</w:t>
      </w:r>
    </w:p>
    <w:p>
      <w:r>
        <w:rPr>
          <w:b/>
        </w:rPr>
        <w:t>E. 4</w:t>
      </w:r>
    </w:p>
    <w:p>
      <w:r>
        <w:t>September 2018, zog der Gesuchsgegner und Beschwerdeführer (fortan Ge- suchsgegner) seine mit Eingabe vom 10. August 2018 erhobene Beschwerde zu- rück (Urk. 17). Das Verfahren ist entsprechend abzuschreiben. Mit dem Rückzug wird auch die erstinstanzliche Regelung der Kosten- und Entschädigungsfolge rechtskräftig. Ausgangsgemäss sind die Prozesskosten des Rechtsmittelverfahrens dem Gesuchsgegner aufzuerlegen. Mangels erheblicher Umtriebe ist dem Gesuchsteller und Beschwerdegegner (fortan Gesuchsteller) für das Rechtsmittelverfahren keine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