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RT180131 vom 19. September 2018</w:t>
      </w:r>
    </w:p>
    <w:p>
      <w:r>
        <w:t>ZH Obergericht, 2018-09-19, DE</w:t>
      </w:r>
    </w:p>
    <w:p>
      <w:r>
        <w:rPr>
          <w:b/>
        </w:rPr>
        <w:t xml:space="preserve">Quelle: </w:t>
      </w:r>
      <w:r>
        <w:t>https://mcp.opencaselaw.ch/entscheid/zh_obergericht_RT180131</w:t>
      </w:r>
    </w:p>
    <w:p>
      <w:r>
        <w:t>FR: ZH_OBERGERICHT RT180131 du 19 septembre 2018</w:t>
      </w:r>
    </w:p>
    <w:p>
      <w:r>
        <w:t>IT: ZH_OBERGERICHT RT180131 del 19 settembre 2018</w:t>
      </w:r>
    </w:p>
    <w:p>
      <w:pPr>
        <w:pStyle w:val="Heading2"/>
      </w:pPr>
      <w:r>
        <w:t>Erwägungen</w:t>
      </w:r>
    </w:p>
    <w:p>
      <w:r>
        <w:rPr>
          <w:b/>
        </w:rPr>
        <w:t>E. 1</w:t>
      </w:r>
    </w:p>
    <w:p>
      <w:r>
        <w:t>Dezember 2017 und die Betreibungskosten sowie Kosten und Entschädigung. Im Mehrumfang wies die Vorinstanz des Rechtsöffnungsbegehren des Gesuch- stellers ab (Urk. 11 = Urk. 14).</w:t>
      </w:r>
    </w:p>
    <w:p>
      <w:r>
        <w:rPr>
          <w:b/>
        </w:rPr>
        <w:t>E. 2</w:t>
      </w:r>
    </w:p>
    <w:p>
      <w:r>
        <w:t>Die mir auferlegten Kosten (inkl. Parteientschädigung) werden vollständig er- lassen.</w:t>
      </w:r>
    </w:p>
    <w:p>
      <w:r>
        <w:rPr>
          <w:b/>
        </w:rPr>
        <w:t>E. 3</w:t>
      </w:r>
    </w:p>
    <w:p>
      <w:r>
        <w:t>a) Unklare Rechtsbegehren sind nach Treu und Glauben und im Lichte der Begründung auszulegen (BGE 137 III 617 E. 6.2; Leuenberger, in: Sut- ter-Somm/Hasenböhler/Leuenberger, ZPO Komm., Art. 221 N 38). Bei grosszügi- ger Auslegung der Beschwerdeschrift ergibt sich, dass der Gesuchsgegner mit dem Urteil vom 12. Juli 2018 der Vorinstanz nicht einverstanden ist und die voll- umfängliche Abweisung des provisorischen Rechtsöffnungsgesuchs des Gesuch- stellers beantragen will (Urk. 13). b)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w:t>
      </w:r>
    </w:p>
    <w:p>
      <w:r>
        <w:t>- 3 - lung des Sachverhalts) der angefochtene Entscheid ihrer Ansicht nach leidet (Freiburghaus/Afheldt, in: Sutter-Somm/Hasenböhler/Leuenberger, ZPO Komm., Art. 321 N 15; BK ZPO-Sterchi, Art. 321 N 17 ff.). Neue Anträge, neue Tatsachen- behauptungen und neue Beweismittel sind ausgeschlossen (Art. 326 Abs. 1 ZPO). Das Novenverbot ist umfassend (Freiburghaus/Afheldt, a.a.O. Art. 326 N 3 f.). c) Bei der Frist zur Einreichung der Beschwerdebegründung (Art. 321 Abs. 2 ZPO) handelt es sich um eine gesetzliche Frist, welche unabän- derlich ist und nicht erstreckt werden kann (Art. 144 Abs. 1 ZPO). Demzufolge ist nach Ablauf der Rechtsmittelfrist eine Ergänzung oder Vervollständigung der Be- schwerde nicht möglich (Freiburghaus/Afheldt, a.a.O., Art. 321 N 4 f.). Die Be- schwerdeschrift des Gesuchsgegners vom 3. August 2018 traf – unter Berück- sichtigung der Betreibungsferien (Art. 56 Abs. 2 Ziff. 2 SchKG) – drei Tage vor Fristablauf am 7. August 2018 bei der erkennenden Kammer ein (Urk. 13). Seine in der Folge eingereichte Eingabe datiert vom 3. September 2018 und wurde glei- chentags zur Post gegeben (Urk. 16). Zufolge Zeitablaufs ist eine Verbesserung oder Ergänzung seiner Beschwerde nicht (mehr) möglich. Entsprechend ist seine Eingabe vom 3. September 2018 im Beschwerdeverfahren nicht zu berücksichti- gen. Zudem wäre, selbst bei Einhaltung der Frist, der erstmals und damit neu ge- stellte Antrag auf Verpflichtung des Gesuchstellers zur Schadenersatzzahlung von Fr. 20'000.– unzulässig und daher unbeachtlich (Urk. 16 S. 2). Darüber hin- aus wäre die erkennende Kammer sachlich für die Anhandnahme einer Klage auf Schadenersatz im Rahmen des Rechtsöffnungsverfahrens nicht zuständig.</w:t>
      </w:r>
    </w:p>
    <w:p>
      <w:r>
        <w:rPr>
          <w:b/>
        </w:rPr>
        <w:t>E. 4</w:t>
      </w:r>
    </w:p>
    <w:p>
      <w:r>
        <w:t>a) Die Vorinstanz erwog, für den ausstehenden Mietzins von De- zember 2017 in der Höhe von Fr. 2'597.– liege mit dem Mietvertrag vom 10. März 2011 und den zwei Mietzinsänderungen vom 7. Dezember 2011 sowie 16. Juni 2015 ein gültiger provisorischer Rechtsöffnungstitel vor. Aufgrund des auf den 31. Dezember 2017 gekündigten Mietvertrages existiere kein gültiger provisori- scher Rechtsöffnungstitel für die Mietzinse von Januar 2018 bis April 2018, wes- halb für diese Beträge das Rechtsöffnungsbegehren abzuweisen sei (Urk. 14 S. 3). Was die Differenz im monatlichen Mietzins zwischen Fr. 2'597.– und</w:t>
      </w:r>
    </w:p>
    <w:p>
      <w:r>
        <w:t>- 4 - Fr. 2'747.– betreffe, namentlich Fr. 150.–, habe der Gesuchsteller keine Urkun- den, die einem Rechtsöffnungstitel entsprächen, zu den Akten gereicht. Gegen den provisorischen Rechtsöffnungstitel mache der Gesuchsgegner teilweise Til- gung durch Verrechnung geltend (Urk. 14 S. 4). Während er die Verrechnungs- forderung mittels einer Heizkostenabrechnung vom 18. Juni 2018 belegt habe, welche ein auszuzahlendes Guthaben von Fr. 481.65 ausweise, habe er für die Verrechnung mit dem Mietzinsdepot keine Unterlagen eingereicht. Die Heizkos- tenabrechnung stelle weder eine durch öffentliche Urkunde oder durch Unter- schrift bekräftigte Schuldanerkennung noch ein vollstreckbares Urteil oder eine vollstreckbare Verfügung dar, weshalb seine Einwendung der Tilgung durch Ver- rechnung nicht ausgewiesen sei (Urk. 14 S. 5). Entsprechend sei lediglich für den Monat Dezember 2017 Rechtsöffnung im Umfang von Fr. 2'597.– sowie Zins von</w:t>
      </w:r>
    </w:p>
    <w:p>
      <w:r>
        <w:rPr>
          <w:b/>
        </w:rPr>
        <w:t>E. 5</w:t>
      </w:r>
    </w:p>
    <w:p>
      <w:r>
        <w:t>a) Ausgangsgemäss sind die Gerichtskosten dem unterliegenden Gesuchsgegner aufzuerlegen (Art. 106 Abs. 1 ZPO). Die zweitinstanzliche Spruchgebühr ist in Anwendung von Art. 48 i.V.m. Art. 61 Abs. 1 GebV SchKG auf Fr. 300.– festzusetzen. b) Dem Gesuchsteller ist mangels relevanter Umtriebe im Beschwer- 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