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RT180108 vom 2. Juli 2018</w:t>
      </w:r>
    </w:p>
    <w:p>
      <w:r>
        <w:t>ZH Obergericht, 2018-07-02, DE</w:t>
      </w:r>
    </w:p>
    <w:p>
      <w:r>
        <w:rPr>
          <w:b/>
        </w:rPr>
        <w:t xml:space="preserve">Quelle: </w:t>
      </w:r>
      <w:r>
        <w:t>https://mcp.opencaselaw.ch/entscheid/zh_obergericht_RT180108</w:t>
      </w:r>
    </w:p>
    <w:p>
      <w:r>
        <w:t>FR: ZH_OBERGERICHT RT180108 du 2 juillet 2018</w:t>
      </w:r>
    </w:p>
    <w:p>
      <w:r>
        <w:t>IT: ZH_OBERGERICHT RT180108 del 2 luglio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Mit Urteil vom 7. Juni 2018 erteilte das Bezirksgericht Dietikon der Gesuchstellerin (B._____ ag) in der Betreibung Nr. … des Betreibungsamts Diet- ikon (Zahlungsbefehl vom 14. Februar 2018) – gestützt auf ein Urteil des Frie- densrichteramts C._____ vom 3. Januar 2018 – definitive Rechtsöffnung für Fr. 240.--; die Kosten- und Entschädigungsfolgen wurden zu Lasten der Gesuchs- gegnerin (A._____) geregelt (Urk. 15 = Urk. 18). b) Hiergegen hat A._____ am 25. Juni 2018 fristgerecht Beschwerde er- hoben und stellt den Beschwerdeantrag (Urk. 17): "Deswegen Bitte ich Sie höflich die Rechtsöffnungsbegehren zu aufheben die Gerichtskosten sind mehr als die Betreibungskosten." c) Die vorinstanzlichen Akten wurden beigezogen. Da sich die Beschwer- de sogleich als offensichtlich unbegründet erweist, kann auf weitere Prozesshand- lungen verzichtet werden (vgl. Art. 322 Abs. 1 ZPO).</w:t>
      </w:r>
    </w:p>
    <w:p>
      <w:r>
        <w:rPr>
          <w:b/>
        </w:rPr>
        <w:t>E. 2</w:t>
      </w:r>
    </w:p>
    <w:p>
      <w:r>
        <w:t>a) Das Bezirksgericht begründete seinen Entscheid im Wesentlichen damit, dass die B._____ ag das rechtskräftige Urteil des Friedensrichteramts C._____ vom 3. Januar 2018 eingereicht habe. Mit diesem Urteil sei A._____ ver- pflichtet worden, der B._____ ag (von dieser bezogene) Gerichtskosten von Fr. 140.-- zu ersetzen und ihr eine Parteientschädigung von Fr. 100.-- zu bezahlen. Dieses Urteil sei rechtskräftig und berechtige damit zur definitiven Rechtsöffnung. Da A._____ in diesem Verfahren unterliege, habe sie die Prozesskosten dieses Verfahrens zu bezahlen (Urk. 18 S. 2 f.). b) A._____ macht in ihrer Beschwerde geltend, wegen ihrer Krankheit ha- be sie nicht verstanden, worum es gegangen sei. Sie habe sicher nicht mehr Kos- ten verursachen wollen. Da sie Sozialhilfe erhalte, sei es ihr nicht möglich, ir- gendwie etwas zu bezahlen (Urk. 17). c) Das Verfahren beim Bezirksgericht Dietikon war ein Rechtsöffnungs- verfahren. In diesem Verfahren wird nicht über eine Forderung entschieden, son-</w:t>
      </w:r>
    </w:p>
    <w:p>
      <w:r>
        <w:t>- 3 - dern es wird nur geprüft, ob die betriebene Forderung durch ein Schriftstück aus- gewiesen ist. Vorliegend hat bereits das Friedensrichteramt C._____ in seinem Urteil vom 3. Januar 2018 entschieden, dass A._____ der B._____ ag insgesamt Fr. 240.-- bezahlen muss, nämlich Fr. 140.-- für Gerichtskosten (welche das Frie- densrichteramt von der B._____ ag bezogen hatte) und Fr. 100.-- als Parteient- schädigung (Urk. 2/2). Die B._____ ag hat dieses Urteil beim Bezirksgericht ein- gereicht. Dieses Urteil ist rechtskräftig und kann damit vollstreckt werden, d.h. die Betreibung der B._____ ag gegen A._____ kann damit fortgesetzt werden. Ob A._____ über genügend Geld verfügt, um die Forderung von Fr. 240.-- und die Kosten des Verfahrens beim Bezirksgericht Dietikon (Fr. 110.-- Gerichtskosten und Fr. 50.-- Parteientschädigung) zu bezahlen, kann ebenfalls nicht im Rechts- öffnungsverfahren geprüft werden. Dies wird dann vom Betreibungsamt im Rah- men eines allfälligen Pfändungsvollzugs zu berücksichtigen sein (Art. 92 und 93 SchKG). d) Nach dem Gesagten hat das Bezirksgericht Dietikon die definitive Rechtsöffnung zu Recht erteilt. Die Beschwerde von A._____ muss demgemäss abgewiesen werden.</w:t>
      </w:r>
    </w:p>
    <w:p>
      <w:r>
        <w:rPr>
          <w:b/>
        </w:rPr>
        <w:t>E. 3</w:t>
      </w:r>
    </w:p>
    <w:p>
      <w:r>
        <w:t>a) Für das Beschwerdeverfahren ist umständehalber auf die Erhe- bung von Gerichtskosten zu verzichten. b) Für das Beschwerdeverfahren sind keine Parteientschädigungen zuzu- sprechen (Art. 95 Abs. 3, Art. 106 Abs. 1 ZPO).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