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RT180107 vom 19. November 2018</w:t>
      </w:r>
    </w:p>
    <w:p>
      <w:r>
        <w:t>ZH Obergericht, 2018-11-19, DE</w:t>
      </w:r>
    </w:p>
    <w:p>
      <w:r>
        <w:rPr>
          <w:b/>
        </w:rPr>
        <w:t xml:space="preserve">Quelle: </w:t>
      </w:r>
      <w:r>
        <w:t>https://mcp.opencaselaw.ch/entscheid/zh_obergericht_RT180107</w:t>
      </w:r>
    </w:p>
    <w:p>
      <w:r>
        <w:t>FR: ZH_OBERGERICHT RT180107 du 19 novembre 2018</w:t>
      </w:r>
    </w:p>
    <w:p>
      <w:r>
        <w:t>IT: ZH_OBERGERICHT RT180107 del 19 novembre 2018</w:t>
      </w:r>
    </w:p>
    <w:p>
      <w:pPr>
        <w:pStyle w:val="Heading2"/>
      </w:pPr>
      <w:r>
        <w:t>Erwägungen</w:t>
      </w:r>
    </w:p>
    <w:p>
      <w:r>
        <w:rPr>
          <w:b/>
        </w:rPr>
        <w:t>E. 1</w:t>
      </w:r>
    </w:p>
    <w:p>
      <w:r>
        <w:t>Prozessgeschichte a) Mit Urteil vom 11. Juni 2018 erteilte die Vorinstanz der Klägerin und Be- schwerdeführerin (fortan Klägerin) in der Betreibung Nr. … des Betreibungsamtes Sihltal (Zahlungsbefehl vom 2. November 2011 [recte: 2017]) provisorische Rechtsöffnung für ausstehende Prämien der Zusatzversicherung für die Monate Juli bis September 2017 über insgesamt Fr. 130.35 nebst Zins, für administrative Spesen von Fr. 20.– sowie für Betreibungskosten im Umfang von Fr. 116.60. Im Mehrbetrag wies die Vorinstanz das Rechtsöffnungsgesuch ab. Die Spruchgebühr im Umfang von Fr. 70.– auferlegte sie den Parteien je zur Hälfte (Urk. 7 S. 8 = Urk. 10 S. 8). b) Dagegen erhob die Klägerin mit Eingabe vom 22. Juni 2018 fristgerecht (Urk. 9 und Urk. 8/2) Beschwerde mit folgenden Anträgen (Urk. 9 S. 2): "1. Die Beschwerde sei gutzuheissen.</w:t>
      </w:r>
    </w:p>
    <w:p>
      <w:r>
        <w:rPr>
          <w:b/>
        </w:rPr>
        <w:t>E. 2</w:t>
      </w:r>
    </w:p>
    <w:p>
      <w:r>
        <w:t>Der Entscheid des Bezirksgerichts Horgen vom 11. Juni 2018 sei folgendermassen abzuändern: a) Ziff. 1: Der klagenden Partei wird provisorische Rechtsöff- nung erteilt in der Betreibung Nr. …, Betreibungsamt Sihltal, Zahlungsbefehl vom 2. November 2011, für: Fr. 130.35 nebst Zins zu 5 % seit 1. August 2017; Fr. 140.00 administrative Spesen; Fr. 116.60 Betreibungskosten. b) Ziff. 3: Die Kosten werden der beklagten Partei auferlegt. Sie werden vollumfänglich von der klagenden Partei bezo- gen, wofür dieser für Fr. 70.00 gegenüber der beklagten Partei ein Rückgriffsrecht eingeräumt wird.</w:t>
      </w:r>
    </w:p>
    <w:p>
      <w:r>
        <w:rPr>
          <w:b/>
        </w:rPr>
        <w:t>E. 3</w:t>
      </w:r>
    </w:p>
    <w:p>
      <w:r>
        <w:t>Der Beschwerdeführerin sei eine angemessene Parteientschädi- gung zuzusprechen.</w:t>
      </w:r>
    </w:p>
    <w:p>
      <w:r>
        <w:rPr>
          <w:b/>
        </w:rPr>
        <w:t>E. 4</w:t>
      </w:r>
    </w:p>
    <w:p>
      <w:r>
        <w:t>Vorinstanzlicher Entscheid Die Vorinstanz erwog in Bezug auf die geltend gemachten Spesen in Höhe von Fr. 140.–, dass sowohl die Mahn- wie auch die Verwaltungsspesen in den Allge- meinen Versicherungsbedingungen (AVB VVG) festgelegt seien, weshalb grund- sätzlich ein Rechtsöffnungstitel vorläge. Es falle aber auf, dass die [insgesamt] geltend gemachten administrativen Spesen im Betrag von Fr. 140.– die Summe der geschuldeten Versicherungsprämien übersteigen würden. Zudem sei es nicht das erste Mal, dass die Klägerin den Beklagten für ausstehende Prämien der Zu- satzversicherung betreibe und daran geknüpfte hohe administrative Spesen ein- fordere, obschon der Beklagte offenkundig seit der Kündigung nicht mehr gewillt sei, die Prämien zu bezahlen. Die Klägerin habe bereits in früheren Betreibungs- verfahren jeweils Rechtsöffnung für hohe administrative Spesen gefordert bei gleichzeitig meist betragsmässig tieferen Prämienausständen (mit Hinweis auf EB170148-F, EB170149-F, EB170291-F, EB180006-F). Angesichts dieser regel- mässigen gegen den Beklagten eingeleiteten Rechtsöffnungsverfahren und des Verhältnisses zwischen den eingeforderten Versicherungsprämien und den admi- nistrativen Spesen, stelle sich die Frage, ob das Verhalten der Klägerin als rechtsmissbräuchlich zu qualifizieren sei. Vorliegend habe die Klägerin durch das wiederholte Einfordern von Teilbeträgen unter Geltendmachung von hohen admi- nistrativen Spesen dem Beklagten unnötige Kosten verursacht. Das Verhalten der Klägerin verletze daher das Gebot der schonenden Rechtsausübung. Darüber hinaus verlange die Klägerin jeweils den Ersatz notwendiger Auslagen, die einem Vielfachen der geforderten Beträge entsprächen, obschon immer die gleichen Ak- ten eingereicht würden. Das Verhalten der Klägerin sei deshalb als rechtsmiss- bräuchlich im Sinne von Art. 2 Abs. 2 ZGB zu qualifizieren. Der Richter habe da- her die geltend gemachten Spesen auf ein vernünftiges Mass zu kürzen. In Anbe-</w:t>
      </w:r>
    </w:p>
    <w:p>
      <w:r>
        <w:t>- 5 - tracht der gesamten Umstände rechtfertige es sich, für administrative Aufwen- dungen einen Betrag von Fr. 20.– zuzusprechen (Urk. 2 E. 3.2.3.).</w:t>
      </w:r>
    </w:p>
    <w:p>
      <w:r>
        <w:rPr>
          <w:b/>
        </w:rPr>
        <w:t>E. 5</w:t>
      </w:r>
    </w:p>
    <w:p>
      <w:r>
        <w:t>Rügen Die Klägerin moniert, sie habe einen vertraglichen Anspruch auf Bezahlung der Spesen im Gesamtbetrag von Fr. 140.–. Die Vorinstanz habe zu Recht festgehal- ten, dass dafür ein Rechtsöffnungstitel vorliege. Dennoch habe sie die vollum- fängliche Einforderung als rechtsmissbräuchlich im Sinne von Art. 2 Abs. 2 ZGB qualifiziert und die Forderung "in Anbetracht der Umstände" auf Fr. 20.– gekürzt. Diese rechtliche Würdigung der Vorinstanz werde bestritten. Die von der Vor- instanz angeführten Lehrmeinungen in Bezug auf den Rechtsmissbrauch würden zwar nicht bestritten, sie seien von der Vorinstanz jedoch unvollständig wiederge- geben worden. Auch treffe vorliegend nicht zu, dass es sich bei den von der Klä- gerin eingeforderten Beträgen um Teilbeträge handle. Der Kläger (sowie seine Ehefrau) hätten eine monatliche Zahlung der Prämien beantragt. Dies bedeute, dass der Verzug jeweils eintrete, wenn die Prämie nicht bis zum Ersten eines je- den Monats bezahlt werde. Zum gleichen Schluss komme im Übrigen auch die Vorinstanz, nehme aber gleichzeitig an, die Klägerin verletze infolge Betreibens kleiner Teilbeträge das Gebot der schonenden Rechtsausübung. Werde jedoch eine monatliche Zahlungsart vereinbart, könne bei Einforderung der Monatsprä- mien unmöglich von Teilbeträgen die Rede sein. Vielmehr handle es sich bei der monatlichen Prämie um eine ganze fällige Forderung, die bereits für sich genom- men rechtlich geltend gemacht werden könne, ohne dass ein Rechtsmissbrauch vorliege. Da die Klägerin die monatlichen Prämien (lediglich) quartalsweise statt monatlich in Betreibung gesetzt habe, könne von einer Verletzung des Gebotes der schonenden Rechtsausübung keine Rede sein. Das Einfordern von fälligen Forderungen in einem Dauerschuldverhältnis könne denn auch nicht vom Zah- lungswillen des Schuldners abhängig gemacht werden (mit Verweis auf Urk. 2 E. 3.2.3. S. 5). Andernfalls würde der Zahlungsunwillige gegenüber dem Zah- lungswilligen (aber Zahlungsunfähigen) bevorteilt. Hinzu komme, dass gemäss Art. 20 VVG fällige Prämien auf Kosten des Schuld- ners zu mahnen seien (Abs. 1) und die Leistungspflicht des Versicherers nach</w:t>
      </w:r>
    </w:p>
    <w:p>
      <w:r>
        <w:t>- 6 - unbenütztem Ablauf der Mahnfrist ruhe (Abs. 3). Zudem stelle Art. 21 Abs. 1 VVG die Vermutung auf, dass der Versicherer vom Vertrag zurücktrete, sofern er die ausstehenden Prämien nicht innert zweier Monate nach Ablauf der Mahnfrist ein- fordere. Entsprechend könne das regelmässige Versenden sowie das Eintreiben der ausstehenden Prämien nicht beanstandet werden, würde die Klägerin doch andernfalls Gefahr laufen, Leistungen erbringen zu müssen. Somit treibe die Gläubigerin die Forderungen zu ihrem eigenen Vorteil ein und nicht (nur) deshalb, um unnötige Kosten zulasten des Schuldners zu verursachen. Zusammenfassend sei vorliegend damit kein Rechtsmissbrauch ersichtlich. Mit der eigenmächtigen Reduktion der administrativen Spesen habe sich die Vor- instanz ohne Not in die Vertragsfreiheit eingemischt. Es gebe keine plausiblen Gründe, welche die Abweisung des Rechtsöffnungsgesuchs hinsichtlich der ad- ministrativen Spesen rechtfertigen würden. Entsprechend seien die Gerichtskos- ten der Vorinstanz gemäss Art. 106 Abs. 1 ZPO vollumfänglich dem Beklagten aufzuerlegen. Gleichzeitig rechtfertige es sich, der Klägerin eine angemessene Parteientschädigung zuzusprechen (Urk. 9 S. 2 ff.).</w:t>
      </w:r>
    </w:p>
    <w:p>
      <w:r>
        <w:rPr>
          <w:b/>
        </w:rPr>
        <w:t>E. 6</w:t>
      </w:r>
    </w:p>
    <w:p>
      <w:r>
        <w:t>Beurteilung</w:t>
      </w:r>
    </w:p>
    <w:p>
      <w:r>
        <w:rPr>
          <w:b/>
        </w:rPr>
        <w:t>E. 6.1</w:t>
      </w:r>
    </w:p>
    <w:p>
      <w:r>
        <w:t>Ob der Klägerin ein rechtsmissbräuchliches Verhalten vorgeworfen werden kann, ist fraglich, kann vorliegend jedoch offenbleiben. Denn der vorinstanzliche Entscheid erweist sich im Ergebnis aus einem anderen Grund als korrekt: a) Die Klägerin stützt sich in ihrem Rechtsöffnungsgesuch hinsichtlich der gel- tend gemachten administrativen Spesen auf Art. 13 der Allgemeinen Versiche- rungsbedingungen für die Zusatzversicherung gemäss VVG (AVB VVG; Urk. 1 S. 4; Urk. 4/21 S. 2 f.). b) Der Rechtsöffnungsrichter prüft die Rechtsfrage, ob ein gültiger Rechtsöff- nungstitel vorliegt, von Amtes wegen (vgl. BGE 103 Ia 47 E. 2e; BGer 5A_113/2014 vom 8. Mai 2014, E. 2.1; BGer 5A_108/2009 vom 6. April 2009, E. 2.3; Stücheli, Die Rechtsöffnung, Diss. 2000, S. 164). Eine als provisorischer Rechtsöffnungstitel im Sinne von Art. 82 Abs. 1 SchKG taugliche Schuldanerken- nung kann sich aus einer Mehrheit von Urkunden ergeben, vorliegend aus dem</w:t>
      </w:r>
    </w:p>
    <w:p>
      <w:r>
        <w:t>- 7 - Versicherungsantrag vom 4. November 2013 (Urk. 4/4 und Urk. 4/9) in Verbin- dung mit der entsprechenden Police vom 3. Dezember 2013 (Urk. 4/5 und Urk. 4/10) und den AVB, Ausgabe 09.2010, Aktualisierung 01.2013 (Urk. 4/21). Es muss aber auch in diesem Fall aus der Schuldanerkennung der bedingungs- und vorbehaltlose Wille des Schuldners, dem Gläubiger eine bestimmte (oder leicht bestimmbare) Geldsumme zu bezahlen, hervorgehen (BGE 139 III 297 E. 2.3.1, 136 III 627 E. 2, 132 III 480 E. 4.1; 122 III 125 E. 2 Ingress: "sans réser- ve ni condition"). Ergibt sich der geschuldete Betrag nicht aus dem unterzeichne- ten Dokument, so muss in der Haupturkunde klar und unmittelbar Bezug auf das separate Dokument genommen werden (BGE 132 III 480 E. 4.1). Eine Bezug- nahme kann jedoch nur dann konkret sein, wenn der Inhalt der verwiesenen Do- kumente dem Erklärenden bekannt und von der unterzeichneten Willensäusse- rung gedeckt ist (BGE 139 III 297 E. 2.3.1; 132 III 480 E. 4.3; BGer 5A_206/2013 vom 13. Mai 2013, E. 2.3). c) Vorliegend fehlt es bereits an einer Behauptung sowie an einem Nachweis, wonach der Beklagte (sowie auch seine Ehefrau) die Bestimmungen des Art. 13 der AVB VVG unterschriftlich akzeptiert hat. Im "Versicherungsantrag VVG" be- stätigten beide lediglich, von den "Zusatzversicherungsprodukten, ihren Besonde- ren Versicherungsbedingungen, der minimalen Vertragsdauer, den Kündigungs- fristen, den Deckungsbegrenzungen gemäss Art. 4.1 der Allgemeinen Versiche- rungsbedingungen für die Zusatzversicherungen der A._____ SA sowie den Kon- taktdaten des Versicherers" Kenntnis genommen zu haben (Urk. 4/4 S. 4 und Urk. 4/9 S. 4). Eine "ausdrückliche" Zustimmung zu den AVB fehlt im Versiche- rungsantrag. Es wurde auch nicht festgehalten, dass die AVB Bestandteil des Vertrages seien; auf Seite 2 ist das Kästchen für die Bezeichnung der "Ausgabe AVB für das VVG" leer geblieben, die Bestätigungen der Antragssteller reissen in der Satzmitte ab ("Die Versicherungsbedingungen und Informationsunterlagen sind mir zu diesem Zweck …") und die Seite 3 der Anträge fehlt gänzlich (vgl. Urk. 4/4 S. 2 f. und Urk. 4/9 S. 2 f.). Ein anderer Rechtsöffnungstitel für die admi- nistrativen Spesen wird von der Klägerin sodann nicht genannt und ist auch nicht ersichtlich. Die stillschweigend genehmigten Policen (vgl. dazu Urk. 1 S. 2 f.; Art. 12 Abs. 1 VVG), in denen auf die Ausgabe AVB 2010 verwiesen und festge-</w:t>
      </w:r>
    </w:p>
    <w:p>
      <w:r>
        <w:t>- 8 - halten wird, Rechte und Pflichten bestimmten sich – mangels Widerspruchs in- nerhalb von vier Wochen – nach den anwendbaren Versicherungsbedingungen (Urk. 4/5, Urk. 4/10), kommen mangels Unterschrift als Rechtsöffnungstitel für die administrativen Spesen gemäss Art. 13 AVB nicht in Frage (BSK SchKG I- Staehelin, Art. 82 N 144 a.E.; Stücheli, a.a.O., S. 387). Nach dem Ausgeführten fehlt es damit in Bezug auf die administrativen Spesen – entgegen der Ansicht der Vorinstanz und der Klägerin – an einem (zusammengesetzten) Rechtsöffnungsti- tel. Die vorinstanzliche Verweigerung der Rechtsöffnung für administrative Spe- sen im Umfang der strittigen Fr. 120.– ist im Ergebnis entsprechend nicht zu be- anstanden.</w:t>
      </w:r>
    </w:p>
    <w:p>
      <w:r>
        <w:rPr>
          <w:b/>
        </w:rPr>
        <w:t>E. 6.2</w:t>
      </w:r>
    </w:p>
    <w:p>
      <w:r>
        <w:t>Die Klägerin verlangt im Weiteren die vollständige Kostenauflage an den Beklagten. Nachdem die Vorinstanz die Rechtsöffnung für die geltend gemachten administrativen Spesen im Umfang von Fr. 120.– zu Recht abgewiesen hat, bleibt es bei der erstinstanzlichen Kostenregelung (Art. 106 Abs. 1 und 2 ZPO und Art. 68 Abs. 1 SchKG).</w:t>
      </w:r>
    </w:p>
    <w:p>
      <w:r>
        <w:rPr>
          <w:b/>
        </w:rPr>
        <w:t>E. 6.3</w:t>
      </w:r>
    </w:p>
    <w:p>
      <w:r>
        <w:t>Nach dem Gesagten erweist sich die Beschwerde damit insgesamt als un- begründet und ist entsprechend abzuweisen.</w:t>
      </w:r>
    </w:p>
    <w:p>
      <w:r>
        <w:rPr>
          <w:b/>
        </w:rPr>
        <w:t>E. 7</w:t>
      </w:r>
    </w:p>
    <w:p>
      <w:r>
        <w:t>Kosten- und Entschädigungsfolgen</w:t>
      </w:r>
    </w:p>
    <w:p>
      <w:r>
        <w:rPr>
          <w:b/>
        </w:rPr>
        <w:t>E. 7.1</w:t>
      </w:r>
    </w:p>
    <w:p>
      <w:r>
        <w:t>Die zweitinstanzliche Entscheidgebühr ist in Anwendung von Art. 48 i.V.m. Art. 61 Abs. 1 GebV SchKG auf Fr. 225.– festzusetzen und ausgangsgemäss der Klägerin aufzuerlegen (Art. 106 Abs. 1 ZPO).</w:t>
      </w:r>
    </w:p>
    <w:p>
      <w:r>
        <w:rPr>
          <w:b/>
        </w:rPr>
        <w:t>E. 7.2</w:t>
      </w:r>
    </w:p>
    <w:p>
      <w:r>
        <w:t>Für das Beschwerdeverfahren sind keine Parteientschädigungen zuzuspre- chen, dem Beklagten mangels relevanter Umtriebe nicht (vgl. Art. 95 Abs. 3 ZPO), der Klägerin zufolge deren Unterliegens nicht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