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RT180073 vom 28. Juni 2018</w:t>
      </w:r>
    </w:p>
    <w:p>
      <w:r>
        <w:t>ZH Obergericht, 2018-06-28, DE</w:t>
      </w:r>
    </w:p>
    <w:p>
      <w:r>
        <w:rPr>
          <w:b/>
        </w:rPr>
        <w:t xml:space="preserve">Quelle: </w:t>
      </w:r>
      <w:r>
        <w:t>https://mcp.opencaselaw.ch/entscheid/zh_obergericht_RT180073</w:t>
      </w:r>
    </w:p>
    <w:p>
      <w:r>
        <w:t>FR: ZH_OBERGERICHT RT180073 du 28 juin 2018</w:t>
      </w:r>
    </w:p>
    <w:p>
      <w:r>
        <w:t>IT: ZH_OBERGERICHT RT180073 del 28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zunächst unbegründetem (Urk. 10), berichtigtem (Urk. 13) und her- nach begründetem Urteil vom 13. März 2018 erteilte die Vorinstanz der Klägerin und Beschwerdegegnerin (fortan Klägerin) in der Betreibung Nr. … des Betrei- bungsamtes Rafzerfeld, Zahlungsbefehl vom 20. Dezember 2017, gestützt auf ei- ne Klageanerkennung definitive Rechtsöffnung für Fr. 15'000.– nebst 5 % Zins seit 1. Oktober 2017, für Fr. 10'643.90 nebst 5 % Zins seit 24. September 2017 und für die Betreibungskosten sowie Kosten und Entschädigung (Urk. 17 = Urk. 20).</w:t>
      </w:r>
    </w:p>
    <w:p>
      <w:r>
        <w:rPr>
          <w:b/>
        </w:rPr>
        <w:t>E. 2</w:t>
      </w:r>
    </w:p>
    <w:p>
      <w:r>
        <w:t>Die Tilgung kann gemäss Entscheid Bezirksgericht Bülach 3.2.1. mit einer Ge- genforderung gestützt werden und [ist] zu verrechnen. Rechnung unsererseits Fr. 27'220.80 integrierter Bestandteil."</w:t>
      </w:r>
    </w:p>
    <w:p>
      <w:r>
        <w:rPr>
          <w:b/>
        </w:rPr>
        <w:t>E. 3</w:t>
      </w:r>
    </w:p>
    <w:p>
      <w:r>
        <w:t>Mit der Beschwerde können unrichtige Rechtsanwendung und offen- sichtlich unrichtige Feststellung des Sachverhalts geltend gemacht werden (Art. 320 ZPO). Die Beschwerde führende Partei hat im Einzelnen darzulegen, an welchen Mängeln (unrichtige Rechtsanwendung, offensichtlich unrichtige Feststel- lung des Sachverhalts) der angefochtene Entscheid ihrer Ansicht nach leidet (Freiburghaus/Afheldt, in: Sutter-Somm/Hasenböhler/Leuenberger, ZPO Komm., Art. 321 N 15; BK ZPO-Sterchi, Art. 321 N 17 ff.).</w:t>
      </w:r>
    </w:p>
    <w:p>
      <w:r>
        <w:rPr>
          <w:b/>
        </w:rPr>
        <w:t>E. 4</w:t>
      </w:r>
    </w:p>
    <w:p>
      <w:r>
        <w:t>a) Die Vorinstanz erwog, das Protokoll der Schlichtungsbehörde in Mietsachen vom 4. Dezember 2017, worin der Beklagte die Forderung der Kläge- rin von Fr. 15'000.– nebst 5 % Zins seit 1. Oktober 2017 und Fr. 10'643.90 nebst</w:t>
      </w:r>
    </w:p>
    <w:p>
      <w:r>
        <w:rPr>
          <w:b/>
        </w:rPr>
        <w:t>E. 5</w:t>
      </w:r>
    </w:p>
    <w:p>
      <w:r>
        <w:t>a) Ausgangsgemäss sind die Gerichtskosten dem unterliegenden Beklagten aufzuerlegen (Art. 106 Abs. 1 ZPO). Die zweitinstanzliche Spruchge- bühr ist in Anwendung von Art. 48 i.V.m. Art. 61 Abs. 1 GebV SchKG auf Fr. 500.– festzusetzen. b) Der Klägerin ist mangels relevanter Umtriebe im Beschwerdever- fahren keine Parteientschädigung zuzusprechen (vgl.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