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RT180065 vom 22. Mai 2018</w:t>
      </w:r>
    </w:p>
    <w:p>
      <w:r>
        <w:t>ZH Obergericht, 2018-05-22, DE</w:t>
      </w:r>
    </w:p>
    <w:p>
      <w:r>
        <w:rPr>
          <w:b/>
        </w:rPr>
        <w:t xml:space="preserve">Quelle: </w:t>
      </w:r>
      <w:r>
        <w:t>https://mcp.opencaselaw.ch/entscheid/zh_obergericht_RT180065</w:t>
      </w:r>
    </w:p>
    <w:p>
      <w:r>
        <w:t>FR: ZH_OBERGERICHT RT180065 du 22 mai 2018</w:t>
      </w:r>
    </w:p>
    <w:p>
      <w:r>
        <w:t>IT: ZH_OBERGERICHT RT180065 del 22 maggio 2018</w:t>
      </w:r>
    </w:p>
    <w:p>
      <w:pPr>
        <w:pStyle w:val="Heading2"/>
      </w:pPr>
      <w:r>
        <w:t>Erwägungen</w:t>
      </w:r>
    </w:p>
    <w:p>
      <w:r>
        <w:rPr>
          <w:b/>
        </w:rPr>
        <w:t>E. 1</w:t>
      </w:r>
    </w:p>
    <w:p>
      <w:r>
        <w:t>a) Mit Urteil vom 8. März 2018 entschied die Vorinstanz im Rechtsöff- nungsverfahren der Parteien das Folgende (Urk. 9 S. 6): " 1. Der Gesuchstellerin wird definitive Rechtsöffnung erteilt in Betreibung Nr. ..., Betreibungsamt Zürich 1, Zahlungsbefehl vom 9. Januar 2018, für Fr. 115'723.80 nebst Zins zu 5 % seit 28. September 2017.</w:t>
      </w:r>
    </w:p>
    <w:p>
      <w:r>
        <w:rPr>
          <w:b/>
        </w:rPr>
        <w:t>E. 2</w:t>
      </w:r>
    </w:p>
    <w:p>
      <w:r>
        <w:t>Die Spruchgebühr von Fr. 1'000.– wird von der Gesuchstellerin be- zogen, ist ihr aber von der Gesuchsgegnerin zu ersetzen.</w:t>
      </w:r>
    </w:p>
    <w:p>
      <w:r>
        <w:rPr>
          <w:b/>
        </w:rPr>
        <w:t>E. 3</w:t>
      </w:r>
    </w:p>
    <w:p>
      <w:r>
        <w:t>Die Gesuchsgegnerin wird verpflichtet, der Gesuchstellerin eine Parteientschädigung von Fr. 1'700.– zu bezahlen.</w:t>
      </w:r>
    </w:p>
    <w:p>
      <w:r>
        <w:rPr>
          <w:b/>
        </w:rPr>
        <w:t>E. 4</w:t>
      </w:r>
    </w:p>
    <w:p>
      <w:r>
        <w:t>(Schriftliche Mitteilung.)</w:t>
      </w:r>
    </w:p>
    <w:p>
      <w:r>
        <w:rPr>
          <w:b/>
        </w:rPr>
        <w:t>E. 5</w:t>
      </w:r>
    </w:p>
    <w:p>
      <w:r>
        <w:t>Schriftliche Mitteilung an die Parteien, an die Gesuchstellerin unter Beilage eines Doppels der Urk. 11, sowie an die Vorinstanz, je gegen Empfangs- 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höchstens Fr. 930.–. Die Beschwerde an das Bundesgericht hat keine aufschiebende Wirkung. Hinsichtlich des Fristenlaufs gelten die Art. 44 ff. BGG.</w:t>
      </w:r>
    </w:p>
    <w:p>
      <w:r>
        <w:t>- 5 - Zürich, 22. Mai 2018 Obergericht des Kantons Zürich I. Zivilkammer Der Gerichtsschreiber: lic. iur. A. Baumgartner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