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RT180035 vom 26. Februar 2018</w:t>
      </w:r>
    </w:p>
    <w:p>
      <w:r>
        <w:t>ZH Obergericht, 2018-02-26, DE</w:t>
      </w:r>
    </w:p>
    <w:p>
      <w:r>
        <w:rPr>
          <w:b/>
        </w:rPr>
        <w:t xml:space="preserve">Quelle: </w:t>
      </w:r>
      <w:r>
        <w:t>https://mcp.opencaselaw.ch/entscheid/zh_obergericht_RT180035</w:t>
      </w:r>
    </w:p>
    <w:p>
      <w:r>
        <w:t>FR: ZH_OBERGERICHT RT180035 du 26 février 2018</w:t>
      </w:r>
    </w:p>
    <w:p>
      <w:r>
        <w:t>IT: ZH_OBERGERICHT RT180035 del 26 febbraio 2018</w:t>
      </w:r>
    </w:p>
    <w:p>
      <w:pPr>
        <w:pStyle w:val="Heading2"/>
      </w:pPr>
      <w:r>
        <w:t>Erwägungen</w:t>
      </w:r>
    </w:p>
    <w:p>
      <w:r>
        <w:rPr>
          <w:b/>
        </w:rPr>
        <w:t>E. 1</w:t>
      </w:r>
    </w:p>
    <w:p>
      <w:r>
        <w:t>a) Mit Urteil vom 7. Dezember 2017 erteilte die Vorinstanz der Gesuch- stellerin und Beschwerdegegnerin (fortan Gesuchstellerin) in der Betreibung Nr. … des Betreibungsamtes Hinwil (Zahlungsbefehl vom 18. September 2017) gestützt auf das vollstreckbare (vgl. Urk. 2/3 S. 9) Urteil der Einzelrichterin im or- dentlichen Verfahren des Bezirkes Hinwil vom 5. September 2005 betreffend Ehescheidung (Urk. 2/3) definitive Rechtsöffnung für Fr. 922.45 zuzüglich Zins zu</w:t>
      </w:r>
    </w:p>
    <w:p>
      <w:r>
        <w:rPr>
          <w:b/>
        </w:rPr>
        <w:t>E. 5</w:t>
      </w:r>
    </w:p>
    <w:p>
      <w:r>
        <w:t>September 2005 die beiden resolutiven Bedingungen "ordentlicher Abschluss" und "angemessene Erstausbildung". Der Eintritt dieser beiden Resolutivbedin- gungen hat der Gesuchsgegner – wie aufgezeigt – durch Urkunden zu beweisen. Auch wenn es ihm gelungen sein sollte, durch die von ihm genannten Urkunden zu beweisen, dass die Gesuchstellerin die berufliche Grundbildung Hauswirt- schaftspraktikerin mit eidgenössischem Berufsattest (EBA) ordentlich abge- schlossen hat, gelang ihm der Nachweis nicht, dass es sich hierbei um eine an- gemessene Erstausbildung der Gesuchstellerin handelt. Gemäss Art. 2 Abs. 1 der Verordnung des SBFI über die berufliche Grundbildung Hauswirtschaftspraktike- rin/Hauswirtschaftspraktiker mit eidgenössischem Berufsattest (EBA) vom</w:t>
      </w:r>
    </w:p>
    <w:p>
      <w:r>
        <w:rPr>
          <w:b/>
        </w:rPr>
        <w:t>E. 10</w:t>
      </w:r>
    </w:p>
    <w:p>
      <w:r>
        <w:t>September 2015 (SR 412.101.220.09) legt in Art. 2 Abs. 1 fest, dass die be- rufliche Grundbildung drei Jahre dauere. Inhaberinnen und Inhabern eines eidge- nössischen Berufsattests Hauswirtschaftspraktiker EBA oder Hauswirtschafts- praktikerin EBA wird das erste Jahr der beruflichen Grundbildung angerechnet (Art. 2 Abs. 2). Aus dieser gesetzlichen Bestimmung geht hervor, dass die Grund- bildung Fachfrau Hauswirtschaft (EFZ) auch auf der Grundbildung Hauswirt- schaftspraktikerin (EBA) aufbauen kann. Im Bundesgesetz über die Berufsbildung (BBG) vom 13. Dezember 2002 ist die Dauer der beruflichen Grundbildung auf zwei bis vier Jahre festgesetzt (Art. 17 Abs. 1). Alleine aufgrund der gesetzlichen Grundlagen kann somit nicht darauf geschlossen werden, dass vorliegend die ab- geschlossene Grundbildung Hauswirtschaftspraktikerin (EBA) die angemessene Erstausbildung für die Gesuchstellerin darstellt. So sieht die diesbezügliche Ver- ordnung – wie ausgeführt – vor, dass ein Teil dieser Grundbildung der Grundbil- dung Fachfrau Hauswirtschaft (EFZ) angerechnet werden kann (vgl. dazu auch</w:t>
      </w:r>
    </w:p>
    <w:p>
      <w:r>
        <w:t>- 8 - Urk. 2/7 Ziff. 6 "Besondere Regelung"). Eine weitergehende und vertiefte Ausle- gung durch den Rechtsöffnungsrichter ist gemäss bundesgerichtlicher Rechtspre- chung ausgeschlossen. Da es dem Gesuchsgegner nicht gelang, durch Urkunden nachzuweisen, dass es sich bei der Grundbildung Hauswirtschaftspraktikerin (EBA) um die angemessene Erstausbildung der Gesuchstellerin handelt, ist er weiterhin verpflichtet, ihr die im Scheidungsurteil vom 5. September 2005 festge- legten Kinderunterhaltsbeiträge zu bezahlen. Zur Feststellung, ob die im Schei- dungsurteil enthaltenen Bedingungen eingetreten sind, kann der Gesuchsgegner nach rechtskräftiger Beseitigung des Rechtsvorschlages die negative Feststel- lungsklage gemäss Art. 85a SchKG ergreifen. Neben der betreibungsrechtlichen Wirkung bezweckt diese als materiellrechtliche Klage die rechtskraftfähige Fest- stellung der Nichtschuld. Der Gesuchsgegner kann in jenem Verfahren ohne Be- weismittelbeschränkung vorbringen, dass die auflösende Bedingung eingetreten ist. c) Damit erweist sich die Beschwerde als offensichtlich unbegründet. Es kann daher davon abgesehen werden, eine Beschwerdeantwort der Gesuchstel- lerin oder eine Stellungnahme der Vorinstanz einzuholen (Art. 322 ZPO, Art. 324 ZPO). Die Beschwerde ist abzuweisen. 6. Mit dem Entscheid in der Sache wird das Gesuch um Erteilung der auf- schiebenden Wirkung gegenstandslos. 7. Die zweitinstanzliche Spruchgebühr ist ausgangsgemäss dem Gesuchs- gegner aufzuerlegen (Art. 106 Abs. 1 ZPO). Die Spruchgebühr ist gestützt auf Art. 48 i.V.m. Art. 61 Abs. 1 GebV SchKG auf Fr. 150.– festzusetzen. Mangels wesentlicher Umtriebe ist der Gesuchstellerin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