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RT170228 vom 2. Februar 2018</w:t>
      </w:r>
    </w:p>
    <w:p>
      <w:r>
        <w:t>ZH Obergericht, 2018-02-02, DE</w:t>
      </w:r>
    </w:p>
    <w:p>
      <w:r>
        <w:rPr>
          <w:b/>
        </w:rPr>
        <w:t xml:space="preserve">Quelle: </w:t>
      </w:r>
      <w:r>
        <w:t>https://mcp.opencaselaw.ch/entscheid/zh_obergericht_RT170228</w:t>
      </w:r>
    </w:p>
    <w:p>
      <w:r>
        <w:t>FR: ZH_OBERGERICHT RT170228 du 2 février 2018</w:t>
      </w:r>
    </w:p>
    <w:p>
      <w:r>
        <w:t>IT: ZH_OBERGERICHT RT170228 del 2 febbraio 2018</w:t>
      </w:r>
    </w:p>
    <w:p>
      <w:pPr>
        <w:pStyle w:val="Heading2"/>
      </w:pPr>
      <w:r>
        <w:t>Erwägungen</w:t>
      </w:r>
    </w:p>
    <w:p>
      <w:r>
        <w:rPr>
          <w:b/>
        </w:rPr>
        <w:t>E. 12</w:t>
      </w:r>
    </w:p>
    <w:p>
      <w:r>
        <w:t>August 2017 persönlich in Empfang (Urk. 10). Indes liess er sich innert Frist nicht vernehmen. Dementsprechend ist die Vorinstanz zu Recht von dessen Säumnis ausgegangen und hat androhungsgemäss gestützt auf die Akten ent- schieden. Dieses Vorgehen beanstandet der Gesuchsgegner zu Recht nicht. Er führt lediglich an, dass ihm keine konkreten Beweise vorliegen würden, dass die Gemeinde die Kosten für ihn übernommen habe (Urk. 17). Diese erstmals im Be- schwerdeverfahren vorgebrachte Einwendung ist neu und daher unzulässig, wes- halb sie unbeachtlich ist. Entsprechend hat es damit sein Bewenden. 2.3 Demgemäss erweist sich die Beschwerde als offensichtlich unzulässig bzw. unbegründet, weshalb auf das Einholen einer Beschwerdeantwort der Ge- genpartei verzichtet werden kann (Art. 322 Abs. 1 ZPO). Auf die Beschwerde ist nicht einzutreten. 3.1 Die Entscheidgebühr für das Beschwerdeverfahren ist in Anwendung von Art. 48 i.V.m. Art. 61 Abs. 1 GebV SchKG (vgl. ZR 110/2011 Nr. 28) auf Fr. 300.– festzusetzen. Die Gerichtskosten sind ausgangsgemäss dem Gesuchs- gegner aufzuerlegen (Art. 106 Abs. 1 ZPO). 3.2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