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RT170223 vom 28. Juni 2018</w:t>
      </w:r>
    </w:p>
    <w:p>
      <w:r>
        <w:t>ZH Obergericht, 2018-06-28, DE</w:t>
      </w:r>
    </w:p>
    <w:p>
      <w:r>
        <w:rPr>
          <w:b/>
        </w:rPr>
        <w:t xml:space="preserve">Quelle: </w:t>
      </w:r>
      <w:r>
        <w:t>https://mcp.opencaselaw.ch/entscheid/zh_obergericht_RT170223</w:t>
      </w:r>
    </w:p>
    <w:p>
      <w:r>
        <w:t>FR: ZH_OBERGERICHT RT170223 du 28 juin 2018</w:t>
      </w:r>
    </w:p>
    <w:p>
      <w:r>
        <w:t>IT: ZH_OBERGERICHT RT170223 del 28 giugno 2018</w:t>
      </w:r>
    </w:p>
    <w:p>
      <w:pPr>
        <w:pStyle w:val="Heading2"/>
      </w:pPr>
      <w:r>
        <w:t>Erwägungen</w:t>
      </w:r>
    </w:p>
    <w:p>
      <w:r>
        <w:rPr>
          <w:b/>
        </w:rPr>
        <w:t>E. 1</w:t>
      </w:r>
    </w:p>
    <w:p>
      <w:r>
        <w:t>Der Arrestrichter am Bezirksgericht Zürich erliess am 4. März 2015 auf Antrag der Gesuchsteller einen Arrestbefehl an das Betreibungsamt Zürich 1, wo- nach sämtliche Vermögenswerte der Gesuchsgegnerin bei der Bank D._____ AG, … [Adresse], für eine Forderung von Fr. 58‘718‘600.– (entsprechend USD 61‘823‘357.55 zum Kurs von 0.94978 am 27. Februar 2015) nebst Zins zu 0.14 % seit 27. Februar 2015 zu verarrestieren seien. Dem Arrestbegehren lag ein Amended Final Judgment des United States District Court for the District of Colo- rado vom 3. Dezember 2014, Civil Action No. 12-cv-00869-RBJ, zugrunde (Urk. 5/1). Am 5. März 2015 wurde die Arresturkunde ausgestellt (Urk. 5/2). In der nachfolgenden Betreibung Nr. … wurde der Gesuchsgegnerin vom Betreibungs- amt Zürich 1 am 11. März 2015 der Zahlungsbefehl zugestellt, wobei die Ge- suchsgegnerin Rechtsvorschlag erhob (Urk. 5/3). Die Gesuchsteller reichten in der Folge bei der Vorinstanz am 4. Mai 2015 (Eingang) ein Rechtsöffnungsbegeh- ren mit folgenden Anträgen ein (Urk. 1 S. 2): „1. In der Betreibung Nr. …, Zahlungsbefehl vom 10. März 2015 des Betreibungsamtes Zürich 1, sei der Rechtsvorschlag zu beseiti- gen und es sei den Gesuchstellern für den Betrag von Fr. 58‘718‘600.– inkl. Zins von 0.14 % seit dem 27. Februar 2015 sowie Fr. 2‘679.60 Gerichtskosten und Fr. 413.30 Betreibungs- kosten definitive Rechtsöffnung zu erteilen.</w:t>
      </w:r>
    </w:p>
    <w:p>
      <w:r>
        <w:rPr>
          <w:b/>
        </w:rPr>
        <w:t>E. 2</w:t>
      </w:r>
    </w:p>
    <w:p>
      <w:r>
        <w:t>a) Die Gesuchsteller rügen in ihrer Beschwerdeschrift insbesondere Fol- gendes (Urk. 47 S. 4 f.): - Die Vorlage eines beglaubigten Urteils sei nicht nötig gewesen, weil die Echtheit des Entscheids von der Gesuchsgegnerin nicht bestritten worden sei. - Die Vorinstanz habe ausgedehnte Nachforschungen zur Authentizität der Beglaubigungen angestellt, ohne dass die Gesuchsteller davon erfahren hätten, wodurch deren rechtliches Gehör verletzt worden sei. - Die fragliche Apostille sei tatsächlich für das eingereichte Urteil ausgestellt worden, wobei die Vorinstanz den Gesuchstelleren hätte ermöglichen müssen, dies zu belegen. b) Die Gesuchsteller haben ihr Rechtsöffnungsbegehren auf das Amended Final Judgment des United States District Court for the District of Colorado vom</w:t>
      </w:r>
    </w:p>
    <w:p>
      <w:r>
        <w:rPr>
          <w:b/>
        </w:rPr>
        <w:t>E. 3</w:t>
      </w:r>
    </w:p>
    <w:p>
      <w:r>
        <w:t>Dezember 2014 nicht bestritten und etwas Gegenteiliges ergibt sich auch nicht aus den Akten, weshalb davon auszugehen ist, dass der Entscheid (hinsichtlich der Gesuchsgegnerin) endgültig im Sinne von Art. 29 Abs. 1 lit. b IPRG ist. c) Rechtsanwalt K._____ bestätigte in seinem Affidavit, dass die Gesuchs- gegnerin vom District Court of Colorado gehörig vorgeladen worden sei und auch teilgenommen habe (Urk. 5/12 Ziff. 4). Weiter wiesen die Gesuchsteller darauf hin, dass die Gesuchsgegnerin das Final Judgment vom 23. August 2013 an den Court of Appeals weitergezogen habe (Urk. 1 S. 15). Diese Darstellung der Ge- suchsteller wurde von der Gesuchsgegnerin nicht bestritten. Sie hat nicht geltend gemacht, dass ein Abwesenheitsurteil im Sinne von Art. 29 Abs. 1 lit. c IPRG er- gangen sei. Es ist daher nicht zu prüfen, ob die Voraussetzungen dieser Bestim- mung erfüllt sind. d) Für die Anerkennung einer ausländischen Entscheidung ist erforderlich, dass die Zuständigkeit der Gerichte oder Behörden des Staates, in dem die Ent-</w:t>
      </w:r>
    </w:p>
    <w:p>
      <w:r>
        <w:t>- 8 - scheidung ergangen ist, begründet war (Art. 25 lit. a IPRG). Begründet ist die Zu- ständigkeit ausländischer Behörden u.a. dann, wenn eine Bestimmung des IPRG sie vorsieht (Art. 26 lit. a IPRG). Die Gesuchsteller berufen sich für die indirekte Zuständigkeit des District Court of Colorado auf Art. 149 Abs. 1 [recte: Abs. 2] lit. f IPRG, wonach eine aus- ländische Entscheidung in der Schweiz anerkannt wird, wenn sie Ansprüche aus unerlaubter Handlung betrifft, am Handlungs- oder am Erfolgsort ergangen ist und der Beklagte seinen Wohnsitz nicht in der Schweiz hatte. Die Gesuchsgegnerin habe ihren Sitz in Panama. Sie habe die Gesuchsteller im Rahmen eines betrüge- rischen Finanzierungssystems geschädigt, indem sie für die Finanzierung des „L._____“-Projekts in Colorado den Gesellschaften der Gesuchsteller die Zahlung von Darlehenssummen in der Höhe von USD 200 bis 220 Mio. versprochen habe, ohne die Absicht, diese je auszuzahlen. Durch diesen Betrug sei es zum Zusam- mensturz des Projekts gekommen, womit all die bisher in die Grundstücke inves- tierten Mittel der Gesuchsteller verloren gegangen seien. Die Forderung in der Höhe von USD 61‘692‘492.– sei der Schaden, den die Gesuchsteller dadurch er- litten hätten und den der District Court als erwiesen erachtet habe. Die erste un- mittelbare Einwirkung auf das Vermögen im Sinne der bundesgerichtlichen Rechtsprechung (BGer 4A_8/2008 vom 05.06.2008, E. 2.1 ff.) habe in Colorado, wo sich die Grundstücke befänden, stattgefunden. Ausserdem hätten die M._____ LLC und die N._____ LLC, welche das Projekt betrieben hätten und durch die betrügerischen Handlungen direkt geschädigt worden seien, ihren Sitz in Colorado. Damit liege der Hauptsitz des geschädigten Vermögens dort (BGE 125 III 103, E. 3.a; Urk. 1 S. 6 f. und 13 f.). Die Gesuchsgegnerin hat die Sachdarstellung der Gesuchsteller nicht be- stritten, und aus den Entscheiden des Court of Colorado (Urk. 5/9 und 5/10) ergibt sich nichts Gegenteiliges. Es ist daher davon auszugehen, dass die Verminde- rung des Vermögens der Gesuchsteller durch die betrügerischen Handlungen der Gesuchsgegnerin in Colorado stattfand, weshalb sich dort der Erfolgsort befand. Die Zuständigkeit des Court of Colorado ist daher gestützt auf Art. 149 Abs. 2 lit. f IPRG zu bejahen.</w:t>
      </w:r>
    </w:p>
    <w:p>
      <w:r>
        <w:t>- 9 - e) Nach Art. 25 lit. c IPRG setzt die Anerkennung einer ausländischen Ent- scheidung in der Schweiz voraus, dass kein Verweigerungsgrund im Sinne von Art. 27 IPRG vorliegt. Danach wird eine im Ausland ergangene Entscheidung in der Schweiz nicht anerkannt, wenn die Anerkennung mit dem schweizerischen Ordre public offensichtlich unvereinbar wäre (Abs. 1). Eine Anerkennung verstösst dann gegen den materiellen Ordre public, wenn das einheimische Rechtsgefühl durch die Anerkennung und Vollstreckung eines ausländischen Entscheids in un- erträglicher Weise verletzt würde, weil dadurch grundlegende Vorschriften der schweizerischen Rechtsordnung missachtet werden. Die Anwendung des Ordre public-Vorbehaltes ist im Bereich der Anerkennung ausländischer Entscheide nach dem Wortlaut des Gesetzes restriktiver ("offensichtlich unvereinbar") als im Bereich der Anwendung des fremden Rechts gemäss Art. 17 IPRG (BGer 4A_8/2008 vom 05.06.2008, E. 3.1). Die Gesuchsteller haben vor Vorinstanz dargelegt, dass ihnen ein Schaden von USD 61‘692‘492.– entstanden sei, den die Gesuchsgegnerin gemeinsam im Rahmen eines Betrugssystems verursacht habe. Der Schaden sei aufgrund der Verminderung der Passiven bzw. Nichterhöhung der Aktiven festgesetzt worden und entspreche damit den Grundzügen der Schadenersatzbemessung nach schweizerischem Recht. Dieses kenne auch eine zivilrechtliche Haftung mehrerer Ersatzpflichtiger (Urk. 1 S. 15). Die Gesuchsgegnerin hat sich zu diesen Ausfüh- rungen nicht geäussert und keinerlei Einwände vorgebracht, wonach der materiel- le Ordre public durch die Entscheide des Court of Colorado verletzt worden sei. Anhaltspunkte für eine solche Verletzung sind denn auch nicht ersichtlich. f) Schliesslich hat die Gesuchsgegnerin auch keine Verweigerungsgründe nach Art. 27 Abs. 2 IPRG (verfahrensrechtlicher Ordre public) geltend gemacht und nachgewiesen. g) Die Voraussetzungen für die Anerkennung und Vollstreckung des Amended Final Judgment des United States District Court for the District of Colo- rado vom 3. Dezember 2014 im Sinne von Art. 25 ff. IPRG sind somit erfüllt.</w:t>
      </w:r>
    </w:p>
    <w:p>
      <w:r>
        <w:t>- 10 -</w:t>
      </w:r>
    </w:p>
    <w:p>
      <w:r>
        <w:rPr>
          <w:b/>
        </w:rPr>
        <w:t>E. 4</w:t>
      </w:r>
    </w:p>
    <w:p>
      <w:r>
        <w:t>a) Für vollstreckbare ausländische Urteile kann definitive Rechtsöffnung erteilt werden (Art. 81 Abs. 3 SchKG; BSK SchKG-Staehelin, Art. 80 N 59). Dabei genügt es, wenn der Rechtsöffnungstitel in Kopie eingereicht wird, soweit die Ge- genpartei die Echtheit nicht bestreitet, was vorliegend der Fall ist (BGer 5A_467/ 2014 vom 18.12.2014, E. 2.4). Gemäss Art. 80 und 81 SchKG muss der Richter die definitive Rechtsöffnung erteilen, wenn der Gläubiger einen vollstreckbaren gerichtlichen Entscheid oder einen diesem gleich zu setzenden Titel vorlegt, aus- ser wenn der Schuldner durch Urkunden beweist, dass die Schuld getilgt oder nach dem Urteil gestundet worden ist, oder wenn er die Verjährung anruft. Der Richter ist nur zuständig, im Falle eines Gesuchs um definitive Rechtsöffnung das vollstreckbare Urteil oder die diesem gleichzusetzende Urkunde sowie die drei Identitäten: die Identität zwischen dem Betreibenden und dem in dieser Urkunde bezeichneten Gläubiger, die Identität zwischen dem Betriebenen und dem be- zeichneten Schuldner und die Identität zwischen der in Betreibung gesetzten und der anerkannten Forderung zu prüfen und schliesslich über das Recht des Gläu- bigers, den Schuldner zu betreiben, das heisst darüber zu entscheiden, ob der Rechtsvorschlag aufrecht erhalten bleiben muss oder nicht (BGE 139 III 444, E. 4.1.1, m.w.H. = Praxis 103 {2014} Nr. 17). b) Der Zahlungsbefehl vom 10. März 2015 weist als Gläubiger die drei Ge- suchsteller und als Schuldnerin die Gesuchsgegnerin aus (Urk. 5/3). Im Amended Final Judgment des United States District Court for the District of Colorado vom 3. Dezember 2014 figurieren die Gesuchsteller als Kläger und u.a. die Gesuchs- gegnerin als Beklagte; Letztere wird zusammen mit O._____ und der E2._____ GmbH „jointly and severally“, d.h. solidarisch dazu verurteilt, den Gesuchstellern USD 61‘692‘492.– nebst 0.14 % Zins ab Entscheiddatum zu bezahlen. Inklusive Zins vom 23. August 2013 bis 27. Februar 2015 errechneten die Gesuchsteller ei- nen Betrag von USD 61‘823‘357.55, den sie bei einem Kurs von 0.94978 auf Fr. 58‘718‘600.– umrechneten (Urk. 1 S. 8; Urk. 5/11). Dieser Betrag wurde in Be- treibung gesetzt. Die drei Identitäten sind daher erfüllt. Die Gesuchsgegnerin hat weder Einwände gegen die Zinsrechnung noch gegen die Währungsumrechnung und auch keine Einwendungen im Sinne von Art. 81 Abs. 1 und 3 SchKG erho- ben. Den Gesuchstellern ist daher antragsgemäss die definitive Rechtsöffnung in</w:t>
      </w:r>
    </w:p>
    <w:p>
      <w:r>
        <w:t>- 11 - der Betreibung Nr. … des Betreibungsamtes Zürich 1, Zahlungsbefehl vom 10. März 2015, für Fr. 58‘718‘600.– nebst 0.14 % Zins seit dem 27. Februar 2015 zu erteilen. Die Gesuchsteller beantragen überdies definitive Rechtsöffnung für Fr. 2‘679.60 Gerichtskosten (Fr. 2‘000.– Spruchgebühr des Arrestbefehls, Fr. 679.80 Kosten des Arrestvollzugs; Urk. 1 S. 18; Urk. 5/1 und 5/2) und Fr. 413.30 Betreibungskosten. Nach der Praxis des Obergerichts des Kantons Zü- rich ist für die Betreibungskosten keine Rechtsöffnung zu erteilen (ZR 108 Nr. 2). Diese Rechtsprechung stützt sich auf Art. 68 Abs. 2 SchKG, wonach die Betrei- bungskosten von den Zahlungen des Schuldners vorab zu erheben sind, soweit dieser die Kosten tragen muss (BSK SchKG-Emmel, Art. 68 N 16). Zu den Betrei- bungskosten gehören die Kosten des Zahlungsbefehls, die Spruchgebühr und die Parteientschädigung des Rechtsöffnungsverfahrens und die Arrestkosten (BSK SchKG-Emmel, Art. 68 N 2 f.; Jaeger/Walder/Kull/Kottmann, SchKG, 4. A. 1997, Art. 68 N 2). Insofern ist das Rechtsöffnungsbegehren abzuweisen. III. Ausgangsgemäss wird die Gesuchsgegnerin für das erst- und zweitinstanz- liche Verfahren kosten- und entschädigungspflichtig (Art. 106 Abs. 1 ZPO; Art. 48 und 61 Abs. 1 GebV SchKG; § 2 Abs. 2, § 4 Abs. 1 und 2, § 9 und § 13 Anw- GebV). Die Gesuchsteller haben keinen Mehrwertsteuerzuschlag verlangt.</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