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RT170214 vom 12. März 2018</w:t>
      </w:r>
    </w:p>
    <w:p>
      <w:r>
        <w:t>ZH Obergericht, 2018-03-12, DE</w:t>
      </w:r>
    </w:p>
    <w:p>
      <w:r>
        <w:rPr>
          <w:b/>
        </w:rPr>
        <w:t xml:space="preserve">Quelle: </w:t>
      </w:r>
      <w:r>
        <w:t>https://mcp.opencaselaw.ch/entscheid/zh_obergericht_RT170214</w:t>
      </w:r>
    </w:p>
    <w:p>
      <w:r>
        <w:t>FR: ZH_OBERGERICHT RT170214 du 12 mars 2018</w:t>
      </w:r>
    </w:p>
    <w:p>
      <w:r>
        <w:t>IT: ZH_OBERGERICHT RT170214 del 12 marzo 2018</w:t>
      </w:r>
    </w:p>
    <w:p>
      <w:pPr>
        <w:pStyle w:val="Heading2"/>
      </w:pPr>
      <w:r>
        <w:t>Erwägungen</w:t>
      </w:r>
    </w:p>
    <w:p>
      <w:r>
        <w:rPr>
          <w:b/>
        </w:rPr>
        <w:t>E. 1</w:t>
      </w:r>
    </w:p>
    <w:p>
      <w:r>
        <w:t>a) Mit Eingabe vom 6. November 2017 stellte die Gesuchstellerin und Be- schwerdeführerin (fortan Gesuchstellerin) bei der Vorinstanz das Begehren, es sei ihr in der Betreibung Nr. … des Betreibungsamtes Uster (Zahlungsbefehl vom 28. August 2017) betreffend Wohnungsabnahmerechnung für Fr. 23'326.– nebst Zins zu 5 % seit 22. April 2017 und für die Betreibungskosten provisorische Rechtsöffnung zu erteilen, unter Kosten- und Entschädigungsfolgen zulasten der Gesuchsgegnerin und Beschwerdegegnerin (fortan Gesuchsgegnerin; Urk. 1, Urk. 3/4). Mit Verfügung vom 21. November 2017 wurde der Gesuchstellerin Frist an- gesetzt, um auszuführen, wie sich die Wohnungsabnahmerechnung im Umfang von Fr. 23'326.– zusammensetze, und um einen Rechtsöffnungstitel einzu- reichen, sofern es sich bei den in der Wohnungsabnahmerechnung enthaltenen Teilbeträgen nicht um Mietzinse aus dem Mietvertrag vom 4. Juni 2008 handle. Im Säumnisfall werde aufgrund der Akten entschieden (Urk. 4 S. 4 f. Dispositivzif- fer 1). Ferner wurde ihr Frist angesetzt, um für die mutmassliche Spruchgebühr einen Kostenvorschuss von Fr. 300.– zu leisten (Urk. 4 S. 5 Dispositivziffer 2). Die Gesuchstellerin leistete innert Frist den Kostenvorschuss (Urk. 5 S. 1, Urk. 8 S. 1) und reichte diverse Urkunden ohne weitere Erläuterungen ein (Urk. 6, Urk. 7/1-3). Mit Verfügung (recte: Urteil [vgl. Urk. 9 S. 5: "Es wird erkannt"]) vom 1. De- zember 2017 wies die erstinstanzliche Rechtsöffnungsrichterin das Rechtsöff- nungsbegehren in der genannten Betreibung ab und auferlegte der Gesuchstelle- rin die Spruchgebühr von Fr. 200.–, welche mit dem von ihr geleisteten Kosten- vorschuss zu verrechnen sei (Urk. 9 S. 5). b) Mit fristgerechter Eingabe vom 5. Dezember 2017 erhob die Gesuchstel- lerin bei der Vorinstanz Beschwerde mit dem sinngemässen Antrag, es sei die angefochtene Verfügung aufzuheben und die erstinstanzlich beantragte Rechts- öffnung zu erteilen (Urk. 13 f.). c) Die vorinstanzlichen Akten wurden beigezogen (vgl. Urk. 1 bis Urk. 13).</w:t>
      </w:r>
    </w:p>
    <w:p>
      <w:r>
        <w:t>- 3 -</w:t>
      </w:r>
    </w:p>
    <w:p>
      <w:r>
        <w:rPr>
          <w:b/>
        </w:rPr>
        <w:t>E. 2</w:t>
      </w:r>
    </w:p>
    <w:p>
      <w:r>
        <w:t>a) Die Gesuchstellerin widerspricht in ihrer Beschwerdeschrift (Urk. 14) den von der vorinstanzlichen Rechtsöffnungsrichterin gemachten Ausführungen in Erwägung 2.2.7 des angefochtenen Entscheids. Gemäss Ziffer 10 des Mietvertra- ges genüge die Unterschrift eines Mieters auf dem Wohnungsabnahmeprotokoll (Bevollmächtigung). Die Mieter seien durch Vollmacht vertreten gewesen. Somit stelle die eingereichte Wohnungsabnahmerechnung sehr wohl eine durch Unter- schrift bekräftigte Schuldanerkennung dar. Dies belege sie mit den im Beschwer- deverfahren eingereichten Kopien des Mietvertrages (unter Hinweis auf Artikel 10; Urk. 17/1), des Abnahmeprotokolls vom 31. Oktober 2016 (Urk. 17/2) sowie der Vollmacht (Urk. 17/3). b) Die erstinstanzliche Rechtsöffnungsrichterin führte in Erwägung 2.2.7 des angefochtenen Entscheids aus, dass die eingereichte Wohnungsabnahmerech- nung vom 23. März 2017 keine Unterschrift der Gesuchsgegnerin aufweise und damit keine durch Unterschrift bekräftigte Schuldanerkennung darstelle. Auch aus den von der Gesuchstellerin ins Recht gelegten Handwerker-Rechnungen (unter Hinweis auf Urk. 7/1-3) sei keine Willenserklärung der Gesuchsgegnerin ersicht- lich, wonach diese anerkenne, eine bestimmte Geldsumme bei deren Fälligkeit für die entstandenen Wohnungsschäden zu bezahlen. Der unmissverständliche und bedingungslose Wille der Gesuchsgegnerin, der Gesuchstellerin eine bestimmte oder leicht bestimmbare und fällige Geldsumme zu bezahlen, gehe aus den Un- terlagen nicht hervor, weshalb für die ausstehende Wohnungsabnahmerechnung vom 23. März 2017 kein Rechtsöffnungstitel vorliege (Urk. 15 S. 4).</w:t>
      </w:r>
    </w:p>
    <w:p>
      <w:r>
        <w:rPr>
          <w:b/>
        </w:rPr>
        <w:t>E. 3</w:t>
      </w:r>
    </w:p>
    <w:p>
      <w:r>
        <w:t>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Die Gesuchstellerin brachte im Rahmen des vorliegenden Rechtsöffnungs- verfahrens die in ihrer Beschwerdeschrift vom 5. Dezember 2017 enthaltenen Tatsachenbehauptungen erstmals im Beschwerdeverfahren vor. Die diesbezügli-</w:t>
      </w:r>
    </w:p>
    <w:p>
      <w:r>
        <w:t>- 4 - chen Vorbringen sind im Sinne von Art. 326 Abs. 1 ZPO als verspätet zu betrach- ten und können daher im Beschwerdeverfahren nicht mehr berücksichtigt werden. Dasselbe gilt für die erstmals zusammen mit der Beschwerdeschrift eingereichte Urkunde 17/3.</w:t>
      </w:r>
    </w:p>
    <w:p>
      <w:r>
        <w:rPr>
          <w:b/>
        </w:rPr>
        <w:t>E. 4</w:t>
      </w:r>
    </w:p>
    <w:p>
      <w:r>
        <w:t>a) Mit der Beschwerde kann die unrichtige Rechtsanwendung sowie die offensichtlich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Gesuchstellerin stützt ihre Begründung im Beschwerdeverfahren ein- zig auf die von D._____ unterzeichnete Generalvollmacht mit Substitutionsbefug- nis vom 11. Mai 2016 (Urk. 17/3), welche – wie aufgezeigt – im Beschwerdever- fahren keine Beachtung finden darf. Im Übrigen setzt sie sich im Beschwerdever- fahren mit den Erwägungen des vorinstanzlichen Entscheids inhaltlich nicht aus- einander. Auf die Beschwerde der Gesuchstellerin ist daher nicht einzutreten.</w:t>
      </w:r>
    </w:p>
    <w:p>
      <w:r>
        <w:t>- 5 -</w:t>
      </w:r>
    </w:p>
    <w:p>
      <w:r>
        <w:rPr>
          <w:b/>
        </w:rPr>
        <w:t>E. 5</w:t>
      </w:r>
    </w:p>
    <w:p>
      <w:r>
        <w:t>Die Prozesskosten werden der unterliegenden Partei auferlegt. Bei Nicht- eintreten gilt die klagende Partei bzw. die Partei, welche das Rechtsmittel erho- ben hat, als unterliegend (vgl. Art. 106 Abs. 1 ZPO), weshalb der Gesuchstellerin die Gerichtskosten des Beschwerdeverfahrens aufzuerlegen sind. Die Spruchge- bühr ist gestützt auf Art. 48 i.V.m. Art. 61 Abs. 1 GebV SchKG auf Fr. 500.– fest- zusetzen. Mangels wesentlicher Umtriebe ist der Gesuchsgegnerin für das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