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RT170212 vom 7. Dezember 2017</w:t>
      </w:r>
    </w:p>
    <w:p>
      <w:r>
        <w:t>ZH Obergericht, 2017-12-07, DE</w:t>
      </w:r>
    </w:p>
    <w:p>
      <w:r>
        <w:rPr>
          <w:b/>
        </w:rPr>
        <w:t xml:space="preserve">Quelle: </w:t>
      </w:r>
      <w:r>
        <w:t>https://mcp.opencaselaw.ch/entscheid/zh_obergericht_RT170212</w:t>
      </w:r>
    </w:p>
    <w:p>
      <w:r>
        <w:t>FR: ZH_OBERGERICHT RT170212 du 7 décembre 2017</w:t>
      </w:r>
    </w:p>
    <w:p>
      <w:r>
        <w:t>IT: ZH_OBERGERICHT RT170212 del 7 dicembre 2017</w:t>
      </w:r>
    </w:p>
    <w:p>
      <w:pPr>
        <w:pStyle w:val="Heading2"/>
      </w:pPr>
      <w:r>
        <w:t>Volltext</w:t>
      </w:r>
    </w:p>
    <w:p>
      <w:r>
        <w:t>Obergericht des Kantons Zürich I. Zivilkammer Geschäfts-Nr.: RT170212-O/U Mitwirkend: Oberrichterin Dr. L. Hunziker Schnider, Vorsitzende, Oberrichterin Dr. D. Scherrer und Oberrichterin Dr. S. Janssen sowie Gerichtsschreiber lic. iur. F. Rieke Beschluss vom 7. Dezember 2017 in Sachen A._____, Gesuchsgegner und Beschwerdeführer gegen B._____ AG, Gesuchstellerin und Beschwerdegegnerin betreffend Rechtsöffnung Beschwerde gegen eine Verfügung des Einzelgerichts im summarischen Verfahren am Bezirksgericht Uster vom 22. November 2017 (EB170548-I)</w:t>
      </w:r>
    </w:p>
    <w:p>
      <w:r>
        <w:t>- 2 - Nach Einsicht in die Verfügung des Bezirksgerichtes Uster (Vorinstanz) vom 22. November 2017, mit welcher der Gesuchstellerin Frist zur Leistung eines Ge- richtskostenvorschusses von Fr. 250.-- angesetzt wurde (Urk. 2), sowie nach Einsicht in die dagegen erhobene Beschwerde des Gesuchsgegners vom 6. Dezember 2017, mit welcher er geltend macht, die Betreibung vom 18. Juli 2017 [Betreibung Nr. … des Betreibungsamts Uster, Zahlungsbefehl vom 17. Juli 2017] sei von der Firma C._____ AG gestellt worden, obwohl diese bereits am 4. Juli 2017 zur Gesuchstellerin umbenannt worden sei (Urk. 1), da eine Partei ein Rechtsmittel nur dann erheben kann, wenn sie durch den ange- fochtenen Entscheid einen Nachteil erleidet, weil ohne einen solchen Nachteil kein schutzwürdiges Interesse an der Anfechtung des Entscheids besteht (vgl. Art. 59 Abs. 2 lit. a ZPO), da der Gesuchsgegner durch die angefochtene Verfügung keinen Nachteil erlei- det, denn durch diese wurde er zu nichts verpflichtet (einzig der Gesuchstellerin wurde Frist zur Leistung eines Gerichtskostenvorschusses angesetzt), weshalb auf die Beschwerde nicht eingetreten werden kann (Art. 59 Abs. 1 ZPO), mit dem Hinweis, dass der Gesuchsgegner seine Einwendungen im vorinstanzli- chen Verfahren wird vortragen können, sobald ihm dazu Frist angesetzt wird, da für das Beschwerdeverfahren umständehalber auf die Erhebung von Gerichts- kosten zu verzichten und der obsiegenden Gesuchstellerin mangels relevantem Aufwand keine Parteientschädigung zuzusprechen ist (Art. 95 Abs. 3 ZPO), wird beschlossen: 1. Auf die Beschwerde wird nicht eingetreten. 2. Für das Beschwerdeverfahren werden keine Kosten erhoben.</w:t>
      </w:r>
    </w:p>
    <w:p>
      <w:r>
        <w:t>- 3 - 3. Für das Beschwerdeverfahren werden keine Parteientschädigungen zuge- sprochen. 4. Schriftliche Mitteilung an die Parteien und an die Vorinstanz, an die Gesuch- stellerin und die Vorinstanz je unter Beilage des Doppels bzw. einer Kopie von Urk. 1, je gegen Empfangsschein. Die vorinstanzlichen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4'114.80. Die Beschwerde an das Bundesgericht hat keine aufschiebende Wirkung. Hinsichtlich des Fristenlaufs gelten die Art. 44 ff. BGG. Zürich, 7. Dezember 2017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