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RT170211 vom 17. Januar 2018</w:t>
      </w:r>
    </w:p>
    <w:p>
      <w:r>
        <w:t>ZH Obergericht, 2018-01-17, DE</w:t>
      </w:r>
    </w:p>
    <w:p>
      <w:r>
        <w:rPr>
          <w:b/>
        </w:rPr>
        <w:t xml:space="preserve">Quelle: </w:t>
      </w:r>
      <w:r>
        <w:t>https://mcp.opencaselaw.ch/entscheid/zh_obergericht_RT170211</w:t>
      </w:r>
    </w:p>
    <w:p>
      <w:r>
        <w:t>FR: ZH_OBERGERICHT RT170211 du 17 janvier 2018</w:t>
      </w:r>
    </w:p>
    <w:p>
      <w:r>
        <w:t>IT: ZH_OBERGERICHT RT170211 del 17 gennaio 2018</w:t>
      </w:r>
    </w:p>
    <w:p>
      <w:pPr>
        <w:pStyle w:val="Heading2"/>
      </w:pPr>
      <w:r>
        <w:t>Erwägungen</w:t>
      </w:r>
    </w:p>
    <w:p>
      <w:r>
        <w:rPr>
          <w:b/>
        </w:rPr>
        <w:t>E. 2</w:t>
      </w:r>
    </w:p>
    <w:p>
      <w:r>
        <w:t>Mai 2016 und 1. Juni 2016 sowie die entsprechenden Zahlungsaufforderungen vom 18. Juli 2016 und 5. September 2016 definitive Rechtsöffnung für Fr. 24.10 sowie für die Betreibungskosten verlangte (Urk. 4/1-2). Mit Verfügung vom 8. Sep- tember 2017 setzte die Vorinstanz der Gesuchstellerin Frist zur Leistung eines Kostenvorschusses an (Urk. 4/3). Hiergegen erhob die Gesuchsgegnerin Be- schwerde, auf welche die I. Zivilkammer des Obergerichts des Kantons Zürich mit Beschluss vom 3. Oktober 2017 nicht eintrat (Urk. 4/8). Auf die dagegen gerichte- te Beschwerde trat das Bundesgericht mit Urteil vom 2. November 2017 ebenfalls nicht ein (Urk. 4/15). Zwischenzeitlich setzte die Vorinstanz der Gesuchsgegnerin mit Verfügung vom 27. September 2017 Frist zur Stellungnahme zum Rechtsöff- nungsbegehren an (Urk. 4/6). 1.2 Hiergegen erhob die Gesuchsgegnerin am 23. November 2017 (Datum Poststempel) Beschwerde mit dem sinngemässen Antrag, die Rechtsöffnung sei zu verweigern (Urk. 1).</w:t>
      </w:r>
    </w:p>
    <w:p>
      <w:r>
        <w:rPr>
          <w:b/>
        </w:rPr>
        <w:t>E. 2.1</w:t>
      </w:r>
    </w:p>
    <w:p>
      <w:r>
        <w:t>Die vorinstanzliche Verfügung vom 27. September 2017 wurde der Ge- suchsgegnerin am 2. Oktober 2017 zugestellt (Urk. 4/7). Da es sich bei der ange- fochtenen Verfügung um eine prozessleitende Verfügung handelt, lief die 10-tägige Frist zum Erheben einer Beschwerde am 12. Oktober 2017 ab (Art. 321 Abs. 2 ZPO in Verbindung mit Art. 144 Abs. 1 ZPO). Entsprechend ist die am 23. November 2017 der Schweizerischen Post zuhanden des Obergerichts des Kantons Zürich übergebene Beschwerde verspätet, weshalb darauf nicht einzu- treten ist.</w:t>
      </w:r>
    </w:p>
    <w:p>
      <w:r>
        <w:rPr>
          <w:b/>
        </w:rPr>
        <w:t>E. 2.2</w:t>
      </w:r>
    </w:p>
    <w:p>
      <w:r>
        <w:t>Ohnehin aber ist eine prozessleitende Verfügung nur in den vom Ge- setz bestimmten Fällen (Art. 319 lit. b Ziff. 2 ZPO) oder wenn durch sie ein nicht</w:t>
      </w:r>
    </w:p>
    <w:p>
      <w:r>
        <w:t>- 3 - leicht wiedergutzumachender Nachteil droht (Art. 319 lit. b Ziff. 1 ZPO), anfecht- bar. Die Anfechtbarkeit einer Verfügung, mit welcher Frist angesetzt wird, ist im Gesetz nicht vorgesehen. Entsprechend ist lediglich eine Beschwerde nach Art. 319 lit. b Ziff. 2 ZPO möglich, wobei für deren Zulassung ein drohender, nicht leicht wiedergutzumachender Nachteil vorausgesetzt ist, welcher von der be- schwerdeführenden Partei darzulegen ist (Staehelin in: Sutter-Somm/Hasenböhl- er/Leuenberger, ZPO Komm., 3. A., Art. 124 N 7; Huber, DIKE-Komm-ZPO, Art. 142 N 5 und Art. 144 N 21; BK ZPO-Frei, Art. 124 N 14, Art. 142 N 1, Art. 144 N 21; KUKO ZPO-Weber, Art. 144 N 15; BSK ZPO-Benn, Art. 144 N 15; Müller, DIKE-Komm-ZPO, Art. 60 N 1). Ein solcher Nachteil ist ohne Weiteres anzuneh- men, wenn er auch durch einen für den Ansprecher günstigen Zwischen- oder Endentscheid nicht mehr beseitigt werden kann. Darüber hinaus ist eine Anfech- tung auch dann möglich, wenn die Lage der betroffenen Partei durch den ange- fochtenen Entscheid erheblich erschwert wird. In der Literatur wird unter Verweis auf die Botschaft die Auffassung vertreten, dass bei Vorladungen (Art. 133/134 ZPO), Terminverschiebungen (Art. 135 ZPO), Fristansetzungen und -erstreckun- gen (Art. 144 ZPO) oder Beweisanordnungen (Art. 231 ZPO) ein nicht leicht wie- dergutzumachender Nachteil kaum je in Betracht fallen könne (BK ZPO-Sterchi, Art. 319 N 14; Blickensdorfer, DIKE-Komm-ZPO, Art. 319 N 41). Weder legt die Gesuchsgegnerin dar, worin vorliegend ein solcher Nachteil liegen sollte, noch ist ein solcher ersichtlich. Damit fehlt es an der Zulassungsvoraussetzung, weshalb auf die Beschwerde auch dann nicht einzutreten wäre, wenn sie rechtzeitig erho- ben worden wäre.</w:t>
      </w:r>
    </w:p>
    <w:p>
      <w:r>
        <w:rPr>
          <w:b/>
        </w:rPr>
        <w:t>E. 2.3</w:t>
      </w:r>
    </w:p>
    <w:p>
      <w:r>
        <w:t>Demgemäss erweist sich die Beschwerde als offensichtlich unzulässig, weshalb auf das Einholen einer Beschwerdeantwort der Gegenpartei verzichtet werden kann (Art. 322 Abs. 1 ZPO). 3.1 Die Entscheidgebühr für das Beschwerdeverfahren ist in Anwendung von Art. 48 i.V.m. Art. 61 Abs. 1 GebV SchKG (vgl. ZR 110/2011 Nr. 28) auf Fr. 150.– festzusetzen. Die Gerichtskosten sind ausgangsgemäss der Gesuchs- gegnerin aufzuerlegen (Art. 106 Abs. 1 ZPO).</w:t>
      </w:r>
    </w:p>
    <w:p>
      <w:r>
        <w:t>- 4 - 3.2 Der Gesuchstellerin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