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RT170179 vom 19. Oktober 2017</w:t>
      </w:r>
    </w:p>
    <w:p>
      <w:r>
        <w:t>ZH Obergericht, 2017-10-19, DE</w:t>
      </w:r>
    </w:p>
    <w:p>
      <w:r>
        <w:rPr>
          <w:b/>
        </w:rPr>
        <w:t xml:space="preserve">Quelle: </w:t>
      </w:r>
      <w:r>
        <w:t>https://mcp.opencaselaw.ch/entscheid/zh_obergericht_RT170179</w:t>
      </w:r>
    </w:p>
    <w:p>
      <w:r>
        <w:t>FR: ZH_OBERGERICHT RT170179 du 19 octobre 2017</w:t>
      </w:r>
    </w:p>
    <w:p>
      <w:r>
        <w:t>IT: ZH_OBERGERICHT RT170179 del 19 ottobre 2017</w:t>
      </w:r>
    </w:p>
    <w:p>
      <w:pPr>
        <w:pStyle w:val="Heading2"/>
      </w:pPr>
      <w:r>
        <w:t>Erwägungen</w:t>
      </w:r>
    </w:p>
    <w:p>
      <w:r>
        <w:rPr>
          <w:b/>
        </w:rPr>
        <w:t>E. 1</w:t>
      </w:r>
    </w:p>
    <w:p>
      <w:r>
        <w:t>a) Mit Urteil vom 18. September 2017 erteilte das Bezirksgericht Bü- lach (Vorinstanz) der Klägerin in der Betreibung Nr. … des Betreibungsamts Klo- ten (Zahlungsbefehl vom 17. November 2016) – gestützt auf einen Pfändungs- verlustschein vom 13. März 2002 für eine öffentlich-rechtliche Forderung (Verfü- gung des Polizeirichteramtes) – definitive Rechtsöffnung für Fr. 490.05 und für die Betreibungskosten sowie für Kosten und Entschädigung gemäss diesem Ent- scheid. Mit gleichzeitig erlassener Verfügung wurde das Gesuch des Klägers [rec- te: Beklagten] um unentgeltliche Rechtspflege abgewiesen (Urk. 9 = Urk. 12). b) Hiergegen hat der Beklagte mit Eingabe vom 5. Oktober 2017 (zur Post gegeben am 7. Oktober 2017) Beschwerde erhoben und stellt zusammengefasst die Beschwerdeanträge, den angefochtenen Entscheid vollständig aufzuheben und ihn von allen Kosten zu befreien (Urk. 11 S. 3 f.; auf eine wörtliche Wiederga- be aller 15 Beschwerdeanträge kann mit Blick auf die nachfolgenden Erwägungen verzichtet werden). c) Da im Beschwerdeverfahren gegen die vorinstanzliche Verfügung be- treffend Abweisung der unentgeltlichen Rechtspflege nicht die Beklagte, sondern der Kanton Zürich Beschwerdegegner ist, wurde das vorliegende Verfahren von demjenigen gegen die Beklagte (Geschäfts-Nummer RT170178-O) abgetrennt. d) Die vorinstanzlichen Akten wurden beigezogen. Da sich die Beschwer- de sogleich als offensichtlich unbegründet bzw. unzulässig erweist, kann auf pro- zessuale Weiterungen verzichtet werden (Art. 322 Abs. 1 ZPO).</w:t>
      </w:r>
    </w:p>
    <w:p>
      <w:r>
        <w:rPr>
          <w:b/>
        </w:rPr>
        <w:t>E. 2</w:t>
      </w:r>
    </w:p>
    <w:p>
      <w:r>
        <w:t>Der angefochtene Entscheid wurde dem Beklagten am 26. September 2017 zugestellt (Urk. 10). Die Frist zur Erhebung der Beschwerde beträgt 10 Tage (Art. 321 Abs. 2 in Verbindung mit Art. 251 lit. a ZPO), was auch von der Vorin- stanz in der Rechtsmittelbelehrung (Urk. 12 Dispositiv Ziffer 6) korrekt angegeben wurde; die Frist lief demzufolge am Freitag, 6. Oktober 2017, ab (Art. 142 ZPO). Die Beschwerde wurde jedoch erst am 7. Oktober 2017, 18:09, zur Post gegeben (Briefumschlag bei Urk. 11). Die Beschwerde ist damit verspätet erhoben worden und auf sie kann demzufolge nicht eingetreten werden.</w:t>
      </w:r>
    </w:p>
    <w:p>
      <w:r>
        <w:t>- 3 -</w:t>
      </w:r>
    </w:p>
    <w:p>
      <w:r>
        <w:rPr>
          <w:b/>
        </w:rPr>
        <w:t>E. 3</w:t>
      </w:r>
    </w:p>
    <w:p>
      <w:r>
        <w:t>Im Übrigen wäre der Beschwerde des Beklagten auch dann kein Erfolg beschieden gewesen, wenn sie rechtzeitig erhoben worden wäre. Der Beklagte irrt, wenn er der Meinung ist, wegen seiner Mittellosigkeit seien ihm sämtliche Ge- richtsverfahren vom Staat zu finanzieren (Urk. 11). Die unentgeltliche Rechtspfle- ge wird nach ausdrücklicher gesetzlicher Regelung nur für solche Verfahren ge- währt, welche nicht aussichtslos sind (Art. 117 lit. b ZPO, Art. 29 Abs. 3 BV). Das vorinstanzliche Verfahren war jedoch als für ihn aussichtslos anzusehen.</w:t>
      </w:r>
    </w:p>
    <w:p>
      <w:r>
        <w:rPr>
          <w:b/>
        </w:rPr>
        <w:t>E. 4</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dem unterliegenden Beklagten aufzuerlegen (Art. 106 Abs. 1 ZPO). b) Der Beklagte hat ein Gesuch um unentgeltliche Rechtspflege für das Beschwerdeverfahren gestellt (Urk. 11 S. 4). Dasselbe ist jedoch zufolge Aus- sichtslosigkeit der Beschwerde (vgl. vorstehende Erwägungen) abzuweisen (Art. 117 lit. b ZPO). c) Für das Beschwerdeverfahren sind keine Parteientschädigungen zuzu- 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