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RT170171 vom 12. September 2017</w:t>
      </w:r>
    </w:p>
    <w:p>
      <w:r>
        <w:t>ZH Obergericht, 2017-09-12, DE</w:t>
      </w:r>
    </w:p>
    <w:p>
      <w:r>
        <w:rPr>
          <w:b/>
        </w:rPr>
        <w:t xml:space="preserve">Quelle: </w:t>
      </w:r>
      <w:r>
        <w:t>https://mcp.opencaselaw.ch/entscheid/zh_obergericht_RT170171</w:t>
      </w:r>
    </w:p>
    <w:p>
      <w:r>
        <w:t>FR: ZH_OBERGERICHT RT170171 du 12 septembre 2017</w:t>
      </w:r>
    </w:p>
    <w:p>
      <w:r>
        <w:t>IT: ZH_OBERGERICHT RT170171 del 12 settembre 2017</w:t>
      </w:r>
    </w:p>
    <w:p>
      <w:pPr>
        <w:pStyle w:val="Heading2"/>
      </w:pPr>
      <w:r>
        <w:t>Erwägungen</w:t>
      </w:r>
    </w:p>
    <w:p>
      <w:r>
        <w:rPr>
          <w:b/>
        </w:rPr>
        <w:t>E. 2</w:t>
      </w:r>
    </w:p>
    <w:p>
      <w:r>
        <w:t>Aufl., 2013, § 21 Rz 41 [wonach auf die grundsätzlich erforderliche separate</w:t>
      </w:r>
    </w:p>
    <w:p>
      <w:r>
        <w:t>- 5 - Tatsachendarstellung verzichtet werden könne, wenn sich der Sachverhalt aus den Rechtsbegehren und den beigelegten Urkunden ergebe]; ebenso Gas- ser/Rickli, ZPO Kurzkommentar, 2. Aufl., 2014, Art. 252 N 2; s.a. Egli, a.a.O., S. 76; OGer ZH RT110204 vom 04.04.2012, E. 3.c.aa). Deren Rechtfertigung wird aber nirgends näher begründet, und das Gesetz bietet hierfür auch keine Anhalts- punkte. Ebenso wenig ergibt sie sich aus der Natur des summarischen Verfah- rens. Das Bundesgericht hat die Frage – soweit ersichtlich – noch nicht geklärt; der von der Gesuchstellerin in diesem Zusammenhang angeführte Entscheid (BGer 5D_95/2015 vom 22. September 2015, E. 3.2) ist nicht einschlägig (...). Folgerichtig enthält das den Rechtssuchenden vom Bundesamt für Justiz ge- stützt auf Art. 400 Abs. 2 und 3 ZPO zur Verfügung gestellte Formular "Rechtsöff- nungsbegehren nach Art. 80/82 SchKG" (abrufbar unter www.bj.admin.ch, dort un- ter "Publikationen &amp; Service" / "Strafregister &amp; weitere Services" / "Zivilprozess- recht" / "Formulare für Parteieingaben") vor der Rubrik "7 Beilagen" unter der Rubrik "6 Begründung" denn auch ein grosses leeres Feld, versehen mit folgen- dem Hinweis (Fussnote 3): "Die gesuchstellende Partei hat die wesentlichen Gründe, warum Rechtsöffnung zu erteilen ist, in nachvollziehbaren Schritten dar- zulegen. Zu jeder Tatsache sind die entsprechenden Beweismittel (insb. Urkun- den) anzuführen." Gleiches gilt für das von den Zürcherischen Gerichten auf deren Website zur Verfügung gestellte Formular für ein Gesuch um Rechtsöffnung (ab- rufbar unter www.gerichte-zh.ch, dort unter "Themen" / "Betreibung und Konkurs" / "Formulare"), in welchem zudem auf die an derselben Stelle abrufbare Checkliste für Rechtsöffnungsgesuche verwiesen wird. Darin wird unter dem Stichwort "Be- gründung" einleitend ausgeführt: "Das Gesuch muss umfassend begründet sein und alle massgeblichen Tatsachen enthalten. Die Begründung hat auf die Doku- mente Bezug zu nehmen, die als Beilagen eingereicht werden. Das Gericht sucht aus den Unterlagen nicht jene Dokumente heraus, die der gesuchstellenden Partei dienlich sind." Wird um definitive Rechtsöffnung ersucht, ist im Gesuch mit Blick auf das Erfordernis der Vollstreckbarkeit insbesondere auch zu behaupten und nachzuweisen, dass der zu vollstreckende Entscheid dem Betriebenen zugestellt wurde, wobei eine Rechtskraftbescheinigung eine nicht gehörige Eröffnung nicht heilen kann (BGE 141 I 97 E. 7.1 S. 102 f.; Müller/Vock, a.a.O., S. 131, S. 133).</w:t>
      </w:r>
    </w:p>
    <w:p>
      <w:r>
        <w:t>- 6 - Im Einzelnen bestimmt sich nach dem konkreten Einzelfall, wie detailliert und ausführlich die Begründung sein muss. In besonders einfachen Fällen kann auch eine nur sehr knappe Begründung genügen. Eine solche ist im Lichte der gesetzli- chen Bestimmungen aber unverzichtbar und war im Übrigen auch im Verfahren OGer ZH RT110204 vom 04.04.2012 vorhanden, wo das Rechtsöffnungsbegeh- ren mittels eines ausgefüllten Formulars der Zürcherischen Gerichte gestellt wor- den und zu prüfen war, ob die in diesem Begehren sehr knapp gehaltene Begrün- dung den Anforderungen von Art. 221 Abs. 1 lit. d ZPO (in Verbindung mit Art. 219 ZPO) entsprach. Fehlt ein genügendes Rechtsbegehren oder eine hinreichende Begründung des Klage- bzw. Gesuchsfundaments, kann dem Gesuch nicht ent- sprochen werden. ... 3.6.2. ... Nach Art. 180 Abs. 1 ZPO, der auch im Rechtsöffnungsverfahren gilt (vgl. schon Botschaft ZPO, BBl 2006 S. 7323), genügt grundsätzlich die Einrei- chung einer Kopie des (auch definitiven) Rechtsöffnungstitels, soweit die Gegen- partei die Echtheit nicht bestreitet (BGer 5A_467/2014 vom 18. Dezember 2014, E. 2.4; BSK SchKG I-Staehelin, Art. 80 N 53; KUKO SchKG-Vock, Art. 80 N 37; SK SchKG-Vock/Aepli-Wirz, Art. 80 N 5; Stücheli, Die Rechtsöffnung, 2000, S. 165). Eine Kopie im Sinne dieser Vorschrift liegt allerdings nur dann vor, wenn sie den Inhalt der Originalurkunde vollständig wiedergibt, d.h. in allen Teilen genau dem Originaldokument entspricht. Das folgt schon aus der Bedeutung des Worts "Kopie", bei der es sich um eine "originalgetreue Wiedergabe eines im Original vorliegenden Textes o.Ä." (Duden, Das Bedeutungswörterbuch, 4. Aufl., 2010, S. 571) resp. um eine "originalgetreue Reproduktion ... eines Schriftstücks o.Ä." (Duden, Deutsches Universalwörterbuch, 4. Aufl., 2001, S. 947) handelt. Zulässig sind somit nur Fotokopien, Fotografien oder Papierausdrucke eines eingescannten Exemplars der Originalurkunde, nicht aber Abschriften, unvollständige Ausdrucke oder ähnliches (KUKO ZPO-Schmid, Art. 180 N 1; Müller, DIKE-Komm-ZPO, Art. 180 N 5; Gasser/Rickli, a.a.O., Art. 180 N 1; BK ZPO II-Rüetschi, Art. 180 N 6; s.a. BSK ZPO-Dolge, Art. 180 N 9). Dementsprechend lässt auch die erkennende Kammer eine Kopie des Rechtsöffnungstitels nur dann genügen, wenn sie voll- ständig ist, d.h. inhaltlich in allen Teilen genau dem Originaldokument entspricht</w:t>
      </w:r>
    </w:p>
    <w:p>
      <w:r>
        <w:t>- 7 - (vgl. z.B. OGer ZH RT170061 vom 07.04.2017, E. 2.c; RT120142 vom 17.09.2012, E. 4.d). Das Erfordernis vollständiger Übereinstimmung der Kopie mit dem Original (Authentizität) gilt generell. Unter diesem Gesichtspunkt hätte an sich auch die Kopie einer in ihrer Originalfassung unterzeichneten Verfügung, sei die Unterschrift für die Titelqualität nun erforderlich oder nicht, eine (kopierte) Unter- schrift zu tragen (s.a. BSK SchKG-Staehelin, Art. 80 N 136). Andernfalls stellt sie keine Kopie im Sinne von Art. 180 Abs. 1 ZPO dar. Falls ein Falldossier nur elekt- ronisch (papierlos) geführt wird, würde es im Hinblick auf die Rechtsöffnung folg- lich nicht genügen, bloss die nicht unterzeichnete Fassung einer dem Adressaten (im Original) mit Unterschrift eröffneten Verfügung abzuspeichern und – wie vor- liegend geschehen – dem Rechtsöffnungsgericht einen Ausdruck dieser nicht un- terzeichneten Fassung einzureichen. Vielmehr müsste die Verfügung in ihrer Ori- ginalfassung (mit Unterschrift) eingescannt, in dieser Form abgespeichert und ein Ausdruck des eingescannten Exemplars eingereicht werden. An diesen im Pro- zessrecht (Art. 180 ZPO) gründenden Anforderungen vermöchten auch die zur einheitlichen Durchführung des AVIG verfassten verwaltungsinternen Weisungen des Staatssekretariats für Wirtschaft SECO (vgl. Art. 110 AVIG) in der AVIG- Praxis ALE E60 und der AVIG-Praxis RVEI A21 nichts zu ändern. Bei Rückforderungsverfügungen der vorliegenden Art besteht allerdings die Besonderheit, dass sie nach Ansicht der erkennenden Kammer auch ohne Unter- schrift gültig eröffnet werden können (OGer ZH RT160194 vom 30.01.2017, E. III.3.2). Es erscheint deshalb fraglich, ob bei Einreichung eines nicht unter- zeichneten Doppels einer im Original ohne rechtliche Notwendigkeit unterzeich- neten Rückforderungsverfügung, welches für sich alleine Titelqualität hätte, die Rechtsöffnung allein wegen dieser Divergenz unter Hinweis auf die fehlende Authentizität des beigebrachten Titels verweigert werden dürfte (vgl. OGer ZH RT160194 vom 30.01.2017, E. III.3.2). Diese Unsicherheit liesse sich vermeiden, wenn solche Verfügungen entweder auch im Original ohne Unterschrift eröffnet oder aber unterzeichnet eröffnet, in der Originalfassung (mit Unterschrift) ein- gescannt und in dieser Form gespeichert würden. Im Übrigen hat das Rechtsöff- nungsgericht von Amtes wegen zu prüfen, ob die (im Original oder in Kopie) ein- gereichte Urkunde einen gehörigen Rechtsöffnungstitel darstellt (BGer</w:t>
      </w:r>
    </w:p>
    <w:p>
      <w:r>
        <w:t>- 8 - 5D_149/2008 vom 9. Januar 2009, E. 2.2.1; 5A_746/2015 vom 18. Januar 2016, E. 4.2; Müller/Vock, a.a.O., S. 131 m.w.Hinw. in Anm. 13; SK SchKG-Vock/Aepli- Wirz, Art. 84 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