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RT170170 vom 6. November 2017</w:t>
      </w:r>
    </w:p>
    <w:p>
      <w:r>
        <w:t>ZH Obergericht, 2017-11-06, DE</w:t>
      </w:r>
    </w:p>
    <w:p>
      <w:r>
        <w:rPr>
          <w:b/>
        </w:rPr>
        <w:t xml:space="preserve">Quelle: </w:t>
      </w:r>
      <w:r>
        <w:t>https://mcp.opencaselaw.ch/entscheid/zh_obergericht_RT170170</w:t>
      </w:r>
    </w:p>
    <w:p>
      <w:r>
        <w:t>FR: ZH_OBERGERICHT RT170170 du 6 novembre 2017</w:t>
      </w:r>
    </w:p>
    <w:p>
      <w:r>
        <w:t>IT: ZH_OBERGERICHT RT170170 del 6 novembre 2017</w:t>
      </w:r>
    </w:p>
    <w:p>
      <w:pPr>
        <w:pStyle w:val="Heading2"/>
      </w:pPr>
      <w:r>
        <w:t>Erwägungen</w:t>
      </w:r>
    </w:p>
    <w:p>
      <w:r>
        <w:rPr>
          <w:b/>
        </w:rPr>
        <w:t>E. 23</w:t>
      </w:r>
    </w:p>
    <w:p>
      <w:r>
        <w:t>Mai 2017 sowie aufgelaufenem Zins (Urk. 13 S. 6 = Urk. 16 S. 6). 1.2. Gegen diesen Entscheid erhob der Gesuchsgegner und Beschwerdeführer (fortan Gesuchsgegner) mit Schreiben vom 28. September 2017 (recte:</w:t>
      </w:r>
    </w:p>
    <w:p>
      <w:r>
        <w:rPr>
          <w:b/>
        </w:rPr>
        <w:t>E. 27</w:t>
      </w:r>
    </w:p>
    <w:p>
      <w:r>
        <w:t>September 2017) innert Frist Beschwerde mit folgenden sinngemässen An- trägen (Urk. 15): 1. Die definitive Rechtsöffnung sei aufzuheben, zu sistieren oder in eine proviso- rische Rechtsöffnung umzuwandeln. 2. Es wird eine sofortige Aufnahme eines Revisionsverfahrens beantragt. Mit Eingabe vom 17. Oktober 2017 reichte der Gesuchsgegner sodann die Pfändungsankündigung des Stadtammann- und Betreibungsamtes Zürich 7 vom</w:t>
      </w:r>
    </w:p>
    <w:p>
      <w:r>
        <w:rPr>
          <w:b/>
        </w:rPr>
        <w:t>E. 28</w:t>
      </w:r>
    </w:p>
    <w:p>
      <w:r>
        <w:t>September 2017 ein (Urk. 20, Urk. 21). 1.3. Die vorinstanzlichen Akten wurden beigezogen. Da sich die Beschwerde - wie nachstehend zu zeigen ist - sogleich als offensichtlich unbegründet erweist, kann auf die Einholung einer Beschwerdeantwort der Gegenpartei verzichtet wer- den (Art. 322 Abs. 1 ZPO).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was am angefochtenen Entscheid unrichtig sei, mithin an welchen Mängeln (unrichtige Rechtsanwendung, offensichtlich unrichtige Feststellung des Sachverhalts) der angefochtene Entscheid ihrer Ansicht nach leidet. Neue Anträ-</w:t>
      </w:r>
    </w:p>
    <w:p>
      <w:r>
        <w:t>- 3 - ge, neue Tatsachenbehauptungen und neue Beweismittel sind im Beschwerde- verfahren ausgeschlossen (Art. 326 Abs. 1 ZPO). 3.1. Die Vorinstanz erwog im angefochtenen Urteil, die Steuerfaktoren gemäss Einschätzungsentscheid des kantonalen Steueramtes des Kantons Zürich vom 4. Januar 2016 (Urk. 3/5) seien mit Einspracheentscheid vom 24. Februar 2016 aufgrund teilweiser Gutheissung der Einsprache neu festgesetzt worden (Urk. 3/6 S. 4), wohingegen der dagegen erhobene Rekurs des Gesuchsgegners an das Steuerrekursgericht und die erhobene Beschwerde an das Verwaltungsgericht des Kantons Zürich abgewiesen worden seien (Urk. 16 S. 2; Urk. 3/7 S. 2 E. 1.1, S. 4). Die Schlussrechnung des Steueramtes der Stadt Zürich vom 23. Februar 2016 (Urk. 3/2) stelle zusammen mit dem rechtskräftigen Einspracheentscheid des kantonalen Steueramtes des Kantons Zürich vom 24. Februar 2016 (Urk. 3/6, Urk. 3/8) einen definitiven Rechtsöffnungstitel im Sinne von Art. 80 Abs. 2 Ziff. 2 SchKG dar (Urk. 16 S. 2). Die vom Gesuchsgegner erhobenen Einwendun- gen, wonach er nach seiner Pensionierung am 1. Juli 2013 aufgrund der darauf- hin aufgenommen, von der SVA Zürich indes noch nicht bestätigten selbständigen Erwerbstätigkeit Verluste erwirtschaftet habe, weshalb die Einkommenseinschät- zung für das fragliche Steuerjahr nicht zutreffe, erachtete die Vorinstanz für unbe- achtlich, da sie die inhaltliche Richtigkeit des vollstreckbaren Entscheids betreffen würden. Ferner seien keine Anhaltspunkte für die Nichtigkeit des Titels erkennbar. Entsprechend sei antragsgemäss Rechtsöffnung zu erteilen. 3.2. Der Gesuchsgegner macht mit seiner Beschwerde erneut geltend, durch die rückwirkende Unterstellung per 1. Juli 2013 auf den Status der Selbständigkeit entstehe eine neue steuerrechtliche Situation seinerseits. Es würden nunmehr al- le Unterlagen vorliegen, um innert ca. 2 Monaten den Steuerbehörden eine rektifi- zierte Steuererklärung für 2013 einzureichen. Sodann könne nicht sein, dass ein Einzelner viel zu hohe Steuern bezahlen müsse, weil seine Steuererklärung nach- träglich nicht richtiggestellt werden könne. Er habe die verspätete Steuererklärung 2013 immer wieder mit der offenen Frage der Selbständigkeit sowie mit gesund- heitlichen Problemen begründet (Urk. 15).</w:t>
      </w:r>
    </w:p>
    <w:p>
      <w:r>
        <w:t>- 4 - 3.3. Mit diesen Vorbringen beanstandet der Gesuchsgegner erneut den Inhalt der Steuerentscheide, welche der betriebenen Forderung zugrundeliegen. Soweit er sich dafür auf neue Urkunden stützt (vgl. insbesondere Urk. 18/12+13), ist ihm das umfassende Novenverbot entgegenzuhalten, welches neu eingereichte Be- weismittel im Beschwerdeverfahren nicht zulässt (vgl. vorstehend E. 2). Darüber hinaus legte bereits die Vorinstanz zutreffend dar, dass der Rechts- öffnungsrichter - wie auch die erkennende Kammer - nicht befugt sind, die inhaltli- che Richtigkeit des Rechtsöffnungstitels zu überprüfen. Das Verfahren auf defini- tive Rechtsöffnung ist ein reines Vollstreckungsverfahren. Es geht folglich nur noch um die Vollstreckung einer Forderung, über welche bereits rechtskräftig bzw. vollstreckbar entschieden worden ist. Die Prüfung, ob die Forderung zu Recht besteht oder nicht, ist vorliegend im Steuerverfahren und den vom Ge- suchsgegner angestrengten Rechtsmittelverfahren erfolgt, welche zum nunmehr vollstreckbaren Einspracheentscheid und der Schlussrechnung geführt haben. Demgemäss durfte die Vorinstanz die gegen die Korrektheit des Einspracheent- scheids bzw. die Höhe der Steuerforderung gerichteten Vorbringen des Gesuchs- gegners nicht berücksichtigen. Auch liegt keine Nichtigkeit des Rechtsöffnungsti- tels vor. Vielmehr ist der Vorinstanz beizupflichten, dass die - nach Meinung des Gesuchsgegners relevante - Bestätigung seiner Selbstständigkeit im Zeitpunkt der Festsetzung seines steuerbaren Einkommens im Einspracheentscheid noch nicht vorlag. Ein offensichtlicher Mangel des Entscheids ist nicht ersichtlich. Die Vorinstanz hat das Recht somit korrekt angewendet. Die entsprechenden Rügen des Gesuchsgegners sind nicht stichhaltig. 3.4. Der Gesuchsgegner beantragt weiter die Sistierung des Verfahrens (Urk. 15). Eine Begründung dieses Antrags bleibt er schuldig, weshalb es insofern bereits an einer formellen Eintretensvoraussetzung für die Beschwerde fehlt. Es bleibt darauf hinzuweisen, dass der Beschwerde von Gesetzes wegen keine aufschiebende Wirkung zukommt (Art. 325 Abs. 1 ZPO). Entsprechend ist der angefochtene Rechtsöffnungsentscheid der Vorinstanz trotz hängigem Be- schwerdeverfahren vollstreckbar, was sich denn auch in der vom Gesuchsgegner beanstandeten Pfändungsankündigung des Stadtammann- und Betreibungsam-</w:t>
      </w:r>
    </w:p>
    <w:p>
      <w:r>
        <w:t>- 5 - tes Zürich 7 zeigt (Urk. 20, Urk. 21). Eine Sistierung des Beschwerdeverfahrens hätte daher selbst bei hinreichender Begründung nicht zur Unterbrechung der Vollstreckung geführt. Vielmehr wäre dazu einzig ein Gesuch um Erteilung der aufschiebenden Wirkung der Beschwerde geeignet, wobei ein entsprechendes Gesuch des Gesuchsgegners bereits aufgrund der fehlenden Erfolgsaussichten seiner Beschwerde abzuweisen und daher auch nicht zielführend gewesen wäre. 3.5. Gleiches gilt für den Antrag auf "Herabstufung auf eine provisorische Rechtsöffnung". Dieser Antrag ist ebenfalls mit keinem Wort begründet, weshalb auch insofern auf die Beschwerde nicht einzutreten ist. Überdies sei darauf hin- gewiesen, dass die vorliegende Forderung auf einem Entscheid einer Verwal- tungsbehörde beruht (Art. 80 Abs. 2 Ziff. 2 SchKG) und damit zur definitiven Rechtsöffnung berechtigt. Provisorische Rechtsöffnung hingegen kann nur erteilt werden, wenn dem Schuldner anschliessend die Aberkennungsklage offensteht, was bei öffentlich-rechtlichen Forderungen wie der vorliegenden, die dem Aber- kennungsprozess im Sinne von Art. 83 Abs. 2 SchKG nicht zugänglich sind, nicht der Fall ist (vgl. zum Ganzen BSK SchKG I-Staehelin, N 46 zu Art. 82 SchKG). Auch diesem Antrag wäre somit selbst bei hinreichender Begründung nicht statt- zugeben. 3.6. Schliesslich beantragt der Gesuchsgegner die sofortige Aufnahme eines Revisionsverfahrens und verweist dabei auf die Steuerbehörden, welche über die Steuerforderung neu zu befinden hätten (Urk. 15, vgl. auch Urk. 16 S. 4). Die er- kennende Kammer ist Rechtsmittelinstanz. Für die Einleitung eines Revisionsver- fahrens ist sie nicht zuständig. Vielmehr hat der Gesuchsgegner selber unter Wahrung der Fristen ein entsprechendes Revisionsgesuch direkt bei der zustän- digen Verwaltungsbehörde einzureichen. Auf die Beschwerde ist in diesem Um- fang nicht einzutreten. 4. Insgesamt erweist sich die Beschwerde demnach als offensichtlich unbe- gründet, weshalb sie abzuweisen ist, soweit auf sie einzutreten ist.</w:t>
      </w:r>
    </w:p>
    <w:p>
      <w:r>
        <w:t>- 6 - 5.1. Der Streitwert des Beschwerdeverfahrens beträgt Fr. 18'543.70. Die zweitin- stanzliche Entscheidgebühr ist in Anwendung von Art. 48 i.V.m. Art. 61 Abs. 1 GebV SchKG auf Fr. 500.– festzusetzen. 5.2. Die Gerichtskosten des Beschwerdeverfahrens sind ausgangsgemäss dem Gesuchsgegner aufzuerlegen (Art. 106 Abs. 1 ZPO). 5.3. Parteientschädigungen sind für dieses Verfahren keine zuzusprechen: Den Gesuchstellern sind keine entschädigungspflichtigen Kosten entstanden (Art. 95 Abs. 3 ZPO), der Gesuchsgegner hat zufolge seines Unterliegens keinen An- spruch auf eine 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