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RT170168 vom 1. Februar 2018</w:t>
      </w:r>
    </w:p>
    <w:p>
      <w:r>
        <w:t>ZH Obergericht, 2018-02-01, DE</w:t>
      </w:r>
    </w:p>
    <w:p>
      <w:r>
        <w:rPr>
          <w:b/>
        </w:rPr>
        <w:t xml:space="preserve">Quelle: </w:t>
      </w:r>
      <w:r>
        <w:t>https://mcp.opencaselaw.ch/entscheid/zh_obergericht_RT170168</w:t>
      </w:r>
    </w:p>
    <w:p>
      <w:r>
        <w:t>FR: ZH_OBERGERICHT RT170168 du 1 février 2018</w:t>
      </w:r>
    </w:p>
    <w:p>
      <w:r>
        <w:t>IT: ZH_OBERGERICHT RT170168 del 1 febbraio 2018</w:t>
      </w:r>
    </w:p>
    <w:p>
      <w:pPr>
        <w:pStyle w:val="Heading2"/>
      </w:pPr>
      <w:r>
        <w:t>Erwägungen</w:t>
      </w:r>
    </w:p>
    <w:p>
      <w:r>
        <w:rPr>
          <w:b/>
        </w:rPr>
        <w:t>E. 14</w:t>
      </w:r>
    </w:p>
    <w:p>
      <w:r>
        <w:t>Juli 2017 erteilte das Einzelgericht im summarischen Verfahren am Bezirksge- richt Andelfingen (Vorinstanz) dem Kläger und Beschwerdegegner (fortan Kläger) in der Betreibung Nr. … des Betreibungsamtes Andelfingen (Zahlungsbefehl vom 24. April 2017) definitive Rechtsöffnung für Gerichtskosten von Fr. 550.– und Be- treibungskosten (Urk. 11 S. 5 = Urk. 14 S. 5). 1.2. Gegen diesen Entscheid liess die Beklagte und Beschwerdeführerin (fortan Beklagte) mit Eingabe vom 25. September 2017 innert Frist (Urk. 12/2, Urk. 13) Beschwerde mit folgenden (sinngemässen) Anträgen erheben (Urk. 13): 1. Der Beklagten seien die Beilagen des angefochtenen Urteils zuzustellen. 2. Es sei keine Rechtsöffnung zu gewähren. Mit Schreiben vom 14. November 2017 wurden der Beklagten die Urkunden 1-4 der vorinstanzlichen Akten in Kopie zugestellt mit dem Hinweis, dass eine weitergehende Akteneinsicht am Gericht erfolgen könne (Urk. 16). Weiter wurde ihr mit Verfügung vom 28. November 2017 Frist zur Leistung eines Kostenvor- schusses von Fr. 225.– angesetzt (Urk. 17). Nachdem der Vorschuss innert - auf- grund der Betreibungsferien verlängerter (Art. 56 Ziff. 2 SchKG, Art. 63 SchKG) - Frist nicht geleistet worden war, wurde mit Verfügung vom 9. Januar 2018 eine einmalige Nachfrist von 5 Tagen angesetzt (Urk. 18). 2. Die Beklagte hat den ihr auferlegten Kostenvorschuss weder innert erstmalig angesetzter Frist, noch innert der Nachfrist geleistet. Folglich ist entsprechend der angedrohten Säumnisfolgen (Urk. 17 S. 2, Urk. 18 S. 2) auf die Beschwerde nicht einzutreten (vgl. Art. 101 Abs. 3 ZPO, Art. 59 Abs. 1 und 2 lit. f ZPO e contrario). 3.1. Der Streitwert des Beschwerdeverfahrens beträgt Fr. 550.–. Die zweitin- stanzliche Entscheidgebühr ist in Anwendung von Art. 48 in Verbindung mit Art. 61 Abs. 1 GebV SchKG auf Fr. 150.– festzusetzen und der Beklagten auf- grund ihres Unterliegens aufzuerlegen (Art. 106 Abs. 1 ZPO).</w:t>
      </w:r>
    </w:p>
    <w:p>
      <w:r>
        <w:t>- 3 - 3.2. Für das Beschwerdeverfahren sind keine Parteientschädigungen zuzuspre- chen: Dem Kläger sind keine entschädigungspflichtige Kosten entstanden (Art. 95 Abs. 3 ZPO), die Beklagte hat aufgrund ihres Unterliegens keinen Anspruch auf Entschädigung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