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RT170167 vom 3. Oktober 2017</w:t>
      </w:r>
    </w:p>
    <w:p>
      <w:r>
        <w:t>ZH Obergericht, 2017-10-03, DE</w:t>
      </w:r>
    </w:p>
    <w:p>
      <w:r>
        <w:rPr>
          <w:b/>
        </w:rPr>
        <w:t xml:space="preserve">Quelle: </w:t>
      </w:r>
      <w:r>
        <w:t>https://mcp.opencaselaw.ch/entscheid/zh_obergericht_RT170167</w:t>
      </w:r>
    </w:p>
    <w:p>
      <w:r>
        <w:t>FR: ZH_OBERGERICHT RT170167 du 3 octobre 2017</w:t>
      </w:r>
    </w:p>
    <w:p>
      <w:r>
        <w:t>IT: ZH_OBERGERICHT RT170167 del 3 ottobre 2017</w:t>
      </w:r>
    </w:p>
    <w:p>
      <w:pPr>
        <w:pStyle w:val="Heading2"/>
      </w:pPr>
      <w:r>
        <w:t>Erwägungen</w:t>
      </w:r>
    </w:p>
    <w:p>
      <w:r>
        <w:rPr>
          <w:b/>
        </w:rPr>
        <w:t>E. 1</w:t>
      </w:r>
    </w:p>
    <w:p>
      <w:r>
        <w:t>a) Die Parteien stehen vor Erstinstanz in einem Rechtsöffnungsverfahren. Mit Verfügung vom 8. September 2017 wurde der Gesuchstellerin und Beschwer- degegnerin (fortan Gesuchstellerin) eine Frist von vierzehn Tagen angesetzt, um für die mutmassliche Spruchgebühr bei der Bezirksgerichtskasse Uster einen Kostenvorschuss von Fr. 100.– zu leisten (Urk. 2 S. 3 Dispositivziffer 1). b) Mit am 21. September 2017 der Post übergebener Eingabe erhob die Ge- suchsgegnerin und Beschwerdeführerin (fortan Gesuchsgegnerin) gegen obge- nannte Verfügung Beschwerde mit dem sinngemässen Antrag, die Rechtsöffnung sei zu verweigern (Urk. 1/1-3).</w:t>
      </w:r>
    </w:p>
    <w:p>
      <w:r>
        <w:rPr>
          <w:b/>
        </w:rPr>
        <w:t>E. 2</w:t>
      </w:r>
    </w:p>
    <w:p>
      <w:r>
        <w:t>a) 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ZPO Komm., Vorbemerkun- gen zu den Art. 308-318 N 30 m.w.H.). b) Die Gesuchsgegnerin wurde durch die angefochtene Verfügung zu nichts verpflichtet, da nicht sie, sondern die Gesuchstellerin den Kostenvorschuss von Fr. 100.– zu leisten hat. Ihr ist deshalb durch die angefochtene Verfügung kein Nachteil entstanden. Auf die Beschwerde der Gesuchsgegnerin ist demnach mangels Beschwer nicht einzutreten.</w:t>
      </w:r>
    </w:p>
    <w:p>
      <w:r>
        <w:rPr>
          <w:b/>
        </w:rPr>
        <w:t>E. 3</w:t>
      </w:r>
    </w:p>
    <w:p>
      <w:r>
        <w:t>Es rechtfertigt sich, für das Beschwerdeverfahren umständehalber auf Kostenerhebung zu verzichten. Mangels wesentlicher Umtriebe ist der Gesuch- stellerin für das Beschwerdeverfahren sodann keine Entschädigung zuzuspre- chen.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